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AFC" w:rsidRPr="00ED3A3C" w:rsidRDefault="00105AFC" w:rsidP="00105AFC">
      <w:pPr>
        <w:jc w:val="right"/>
        <w:rPr>
          <w:rFonts w:ascii="Arial" w:hAnsi="Arial" w:cs="Arial"/>
          <w:b/>
          <w:sz w:val="32"/>
          <w:szCs w:val="40"/>
        </w:rPr>
      </w:pPr>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4B7D2D">
        <w:rPr>
          <w:rFonts w:ascii="Arial" w:hAnsi="Arial" w:cs="Arial"/>
          <w:spacing w:val="-17"/>
          <w:w w:val="105"/>
          <w:sz w:val="24"/>
          <w:szCs w:val="24"/>
        </w:rPr>
        <w:t>Bidding Stage</w:t>
      </w:r>
      <w:r w:rsidR="00474BE7">
        <w:rPr>
          <w:rFonts w:ascii="Arial" w:hAnsi="Arial" w:cs="Arial"/>
          <w:spacing w:val="-17"/>
          <w:w w:val="105"/>
          <w:sz w:val="24"/>
          <w:szCs w:val="24"/>
        </w:rPr>
        <w:t xml:space="preserve"> </w:t>
      </w:r>
      <w:r w:rsidR="006177EC">
        <w:rPr>
          <w:rFonts w:ascii="Arial" w:hAnsi="Arial" w:cs="Arial"/>
          <w:spacing w:val="-17"/>
          <w:w w:val="105"/>
          <w:sz w:val="24"/>
          <w:szCs w:val="24"/>
        </w:rPr>
        <w:t xml:space="preserve"> </w:t>
      </w:r>
      <w:r w:rsidR="00515570">
        <w:rPr>
          <w:rFonts w:ascii="Arial" w:hAnsi="Arial" w:cs="Arial"/>
          <w:spacing w:val="-17"/>
          <w:w w:val="105"/>
          <w:sz w:val="24"/>
          <w:szCs w:val="24"/>
        </w:rPr>
        <w:tab/>
      </w:r>
    </w:p>
    <w:p w:rsidR="00D246FA" w:rsidRPr="00D00A3B" w:rsidRDefault="006177EC" w:rsidP="00C523A4">
      <w:pPr>
        <w:tabs>
          <w:tab w:val="left" w:pos="5460"/>
        </w:tabs>
        <w:ind w:left="142"/>
        <w:rPr>
          <w:rFonts w:ascii="Arial" w:hAnsi="Arial" w:cs="Arial"/>
          <w:sz w:val="24"/>
          <w:szCs w:val="24"/>
        </w:rPr>
      </w:pPr>
      <w:r>
        <w:rPr>
          <w:rFonts w:ascii="Arial" w:hAnsi="Arial" w:cs="Arial"/>
          <w:sz w:val="24"/>
          <w:szCs w:val="24"/>
        </w:rPr>
        <w:t xml:space="preserve"> </w:t>
      </w:r>
      <w:r w:rsidR="00C523A4">
        <w:rPr>
          <w:rFonts w:ascii="Arial" w:hAnsi="Arial" w:cs="Arial"/>
          <w:sz w:val="24"/>
          <w:szCs w:val="24"/>
        </w:rPr>
        <w:tab/>
      </w:r>
      <w:r w:rsidR="00C523A4">
        <w:rPr>
          <w:rFonts w:ascii="Arial" w:hAnsi="Arial" w:cs="Arial"/>
          <w:sz w:val="24"/>
          <w:szCs w:val="24"/>
        </w:rPr>
        <w:tab/>
      </w:r>
    </w:p>
    <w:p w:rsidR="00D246FA" w:rsidRPr="00D00A3B" w:rsidRDefault="005C6B42" w:rsidP="00B361DC">
      <w:pPr>
        <w:ind w:left="142"/>
        <w:rPr>
          <w:rFonts w:ascii="Arial" w:hAnsi="Arial" w:cs="Arial"/>
          <w:sz w:val="24"/>
          <w:szCs w:val="24"/>
        </w:rPr>
      </w:pPr>
      <w:r>
        <w:rPr>
          <w:rFonts w:ascii="Arial" w:hAnsi="Arial" w:cs="Arial"/>
          <w:sz w:val="24"/>
          <w:szCs w:val="24"/>
        </w:rPr>
        <w:t xml:space="preserve"> </w:t>
      </w:r>
      <w:r w:rsidR="000129CF">
        <w:rPr>
          <w:rFonts w:ascii="Arial" w:hAnsi="Arial" w:cs="Arial"/>
          <w:sz w:val="24"/>
          <w:szCs w:val="24"/>
        </w:rPr>
        <w:t xml:space="preserve">August </w:t>
      </w:r>
      <w:r w:rsidR="00474BE7">
        <w:rPr>
          <w:rFonts w:ascii="Arial" w:hAnsi="Arial" w:cs="Arial"/>
          <w:sz w:val="24"/>
          <w:szCs w:val="24"/>
        </w:rPr>
        <w:t xml:space="preserve"> </w:t>
      </w:r>
      <w:r w:rsidR="00D062E0">
        <w:rPr>
          <w:rFonts w:ascii="Arial" w:hAnsi="Arial" w:cs="Arial"/>
          <w:sz w:val="24"/>
          <w:szCs w:val="24"/>
        </w:rPr>
        <w:t xml:space="preserve"> </w:t>
      </w:r>
      <w:r w:rsidR="00FB6562">
        <w:rPr>
          <w:rFonts w:ascii="Arial" w:hAnsi="Arial" w:cs="Arial"/>
          <w:sz w:val="24"/>
          <w:szCs w:val="24"/>
        </w:rPr>
        <w:t xml:space="preserve"> 201</w:t>
      </w:r>
      <w:r w:rsidR="004B7D2D">
        <w:rPr>
          <w:rFonts w:ascii="Arial" w:hAnsi="Arial" w:cs="Arial"/>
          <w:sz w:val="24"/>
          <w:szCs w:val="24"/>
        </w:rPr>
        <w:t>9</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B82733">
        <w:rPr>
          <w:rFonts w:ascii="Arial" w:hAnsi="Arial" w:cs="Arial"/>
          <w:b/>
          <w:spacing w:val="2"/>
          <w:w w:val="105"/>
          <w:sz w:val="24"/>
          <w:szCs w:val="24"/>
        </w:rPr>
        <w:t xml:space="preserve"> </w:t>
      </w:r>
      <w:r w:rsidR="00474BE7">
        <w:rPr>
          <w:rFonts w:ascii="Arial" w:hAnsi="Arial" w:cs="Arial"/>
          <w:b/>
          <w:spacing w:val="2"/>
          <w:w w:val="105"/>
          <w:sz w:val="24"/>
          <w:szCs w:val="24"/>
        </w:rPr>
        <w:t xml:space="preserve">Establishment of </w:t>
      </w:r>
      <w:r w:rsidR="000129CF">
        <w:rPr>
          <w:rFonts w:ascii="Arial" w:hAnsi="Arial" w:cs="Arial"/>
          <w:b/>
          <w:spacing w:val="2"/>
          <w:w w:val="105"/>
          <w:sz w:val="24"/>
          <w:szCs w:val="24"/>
        </w:rPr>
        <w:t>City Livelihood</w:t>
      </w:r>
      <w:r w:rsidR="004B7D2D">
        <w:rPr>
          <w:rFonts w:ascii="Arial" w:hAnsi="Arial" w:cs="Arial"/>
          <w:b/>
          <w:spacing w:val="2"/>
          <w:w w:val="105"/>
          <w:sz w:val="24"/>
          <w:szCs w:val="24"/>
        </w:rPr>
        <w:t xml:space="preserve"> Center</w:t>
      </w:r>
      <w:r w:rsidR="00474BE7">
        <w:rPr>
          <w:rFonts w:ascii="Arial" w:hAnsi="Arial" w:cs="Arial"/>
          <w:b/>
          <w:spacing w:val="2"/>
          <w:w w:val="105"/>
          <w:sz w:val="24"/>
          <w:szCs w:val="24"/>
        </w:rPr>
        <w:t xml:space="preserve"> at </w:t>
      </w:r>
      <w:r w:rsidR="000129CF">
        <w:rPr>
          <w:rFonts w:ascii="Arial" w:hAnsi="Arial" w:cs="Arial"/>
          <w:b/>
          <w:spacing w:val="2"/>
          <w:w w:val="105"/>
          <w:sz w:val="24"/>
          <w:szCs w:val="24"/>
        </w:rPr>
        <w:t>Bilaspur</w:t>
      </w:r>
      <w:r w:rsidR="00474BE7">
        <w:rPr>
          <w:rFonts w:ascii="Arial" w:hAnsi="Arial" w:cs="Arial"/>
          <w:b/>
          <w:spacing w:val="2"/>
          <w:w w:val="105"/>
          <w:sz w:val="24"/>
          <w:szCs w:val="24"/>
        </w:rPr>
        <w:t xml:space="preserve"> in </w:t>
      </w:r>
      <w:r w:rsidR="000129CF">
        <w:rPr>
          <w:rFonts w:ascii="Arial" w:hAnsi="Arial" w:cs="Arial"/>
          <w:b/>
          <w:spacing w:val="2"/>
          <w:w w:val="105"/>
          <w:sz w:val="24"/>
          <w:szCs w:val="24"/>
        </w:rPr>
        <w:t xml:space="preserve">Bilaspur </w:t>
      </w:r>
      <w:r w:rsidR="00474BE7">
        <w:rPr>
          <w:rFonts w:ascii="Arial" w:hAnsi="Arial" w:cs="Arial"/>
          <w:b/>
          <w:spacing w:val="2"/>
          <w:w w:val="105"/>
          <w:sz w:val="24"/>
          <w:szCs w:val="24"/>
        </w:rPr>
        <w:t xml:space="preserve">District </w:t>
      </w:r>
      <w:r w:rsidR="004B7D2D">
        <w:rPr>
          <w:rFonts w:ascii="Arial" w:hAnsi="Arial" w:cs="Arial"/>
          <w:b/>
          <w:spacing w:val="2"/>
          <w:w w:val="105"/>
          <w:sz w:val="24"/>
          <w:szCs w:val="24"/>
        </w:rPr>
        <w:t xml:space="preserve"> </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0"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1" w:name="_Toc242070656"/>
      <w:bookmarkStart w:id="2" w:name="_Toc242072869"/>
      <w:bookmarkStart w:id="3" w:name="_Toc243042903"/>
      <w:bookmarkStart w:id="4" w:name="_Toc243043710"/>
      <w:bookmarkStart w:id="5" w:name="_Toc243044601"/>
      <w:bookmarkStart w:id="6" w:name="_Toc243203659"/>
      <w:bookmarkStart w:id="7" w:name="_Toc389045689"/>
      <w:bookmarkStart w:id="8" w:name="_Toc389050319"/>
      <w:bookmarkStart w:id="9" w:name="_Toc396595998"/>
      <w:bookmarkEnd w:id="0"/>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1"/>
      <w:bookmarkEnd w:id="2"/>
      <w:bookmarkEnd w:id="3"/>
      <w:bookmarkEnd w:id="4"/>
      <w:bookmarkEnd w:id="5"/>
      <w:bookmarkEnd w:id="6"/>
      <w:bookmarkEnd w:id="7"/>
      <w:bookmarkEnd w:id="8"/>
      <w:bookmarkEnd w:id="9"/>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lastRenderedPageBreak/>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CPCB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EAC</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ESSP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GOI</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GRM</w:t>
            </w:r>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HPSPCB</w:t>
            </w:r>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MOEF</w:t>
            </w:r>
            <w:r w:rsidR="0070371C">
              <w:rPr>
                <w:rFonts w:ascii="Arial" w:hAnsi="Arial" w:cs="Arial"/>
              </w:rPr>
              <w:t>CC</w:t>
            </w:r>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NRRP</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4B7D2D" w:rsidRDefault="004B7D2D"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lastRenderedPageBreak/>
        <w:t>TABLE OF CONTENTS</w:t>
      </w:r>
    </w:p>
    <w:p w:rsidR="00DA5970" w:rsidRPr="00D00A3B" w:rsidRDefault="00DA5970" w:rsidP="0093622A">
      <w:pPr>
        <w:tabs>
          <w:tab w:val="left" w:pos="9072"/>
          <w:tab w:val="left" w:pos="9356"/>
        </w:tabs>
        <w:ind w:right="-279"/>
        <w:jc w:val="center"/>
        <w:rPr>
          <w:rFonts w:ascii="Arial" w:hAnsi="Arial" w:cs="Arial"/>
          <w:b/>
        </w:rPr>
      </w:pPr>
    </w:p>
    <w:p w:rsidR="009C535A" w:rsidRDefault="009533E5">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490318869" w:history="1">
        <w:r w:rsidR="009C535A" w:rsidRPr="00240E6B">
          <w:rPr>
            <w:rStyle w:val="Hyperlink"/>
          </w:rPr>
          <w:t>Executive Summary</w:t>
        </w:r>
        <w:r w:rsidR="009C535A">
          <w:rPr>
            <w:webHidden/>
          </w:rPr>
          <w:tab/>
        </w:r>
        <w:r>
          <w:rPr>
            <w:webHidden/>
          </w:rPr>
          <w:fldChar w:fldCharType="begin"/>
        </w:r>
        <w:r w:rsidR="009C535A">
          <w:rPr>
            <w:webHidden/>
          </w:rPr>
          <w:instrText xml:space="preserve"> PAGEREF _Toc490318869 \h </w:instrText>
        </w:r>
        <w:r>
          <w:rPr>
            <w:webHidden/>
          </w:rPr>
        </w:r>
        <w:r>
          <w:rPr>
            <w:webHidden/>
          </w:rPr>
          <w:fldChar w:fldCharType="separate"/>
        </w:r>
        <w:r w:rsidR="009C535A">
          <w:rPr>
            <w:webHidden/>
          </w:rPr>
          <w:t>4</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0" w:history="1">
        <w:r w:rsidR="009C535A" w:rsidRPr="00240E6B">
          <w:rPr>
            <w:rStyle w:val="Hyperlink"/>
          </w:rPr>
          <w:t>A.</w:t>
        </w:r>
        <w:r w:rsidR="009C535A">
          <w:rPr>
            <w:rFonts w:asciiTheme="minorHAnsi" w:eastAsiaTheme="minorEastAsia" w:hAnsiTheme="minorHAnsi" w:cstheme="minorBidi"/>
            <w:bCs w:val="0"/>
            <w:caps w:val="0"/>
          </w:rPr>
          <w:tab/>
        </w:r>
        <w:r w:rsidR="009C535A" w:rsidRPr="00240E6B">
          <w:rPr>
            <w:rStyle w:val="Hyperlink"/>
          </w:rPr>
          <w:t>INTRODUCTION:</w:t>
        </w:r>
        <w:r w:rsidR="009C535A">
          <w:rPr>
            <w:webHidden/>
          </w:rPr>
          <w:tab/>
        </w:r>
        <w:r>
          <w:rPr>
            <w:webHidden/>
          </w:rPr>
          <w:fldChar w:fldCharType="begin"/>
        </w:r>
        <w:r w:rsidR="009C535A">
          <w:rPr>
            <w:webHidden/>
          </w:rPr>
          <w:instrText xml:space="preserve"> PAGEREF _Toc490318870 \h </w:instrText>
        </w:r>
        <w:r>
          <w:rPr>
            <w:webHidden/>
          </w:rPr>
        </w:r>
        <w:r>
          <w:rPr>
            <w:webHidden/>
          </w:rPr>
          <w:fldChar w:fldCharType="separate"/>
        </w:r>
        <w:r w:rsidR="009C535A">
          <w:rPr>
            <w:webHidden/>
          </w:rPr>
          <w:t>6</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1" w:history="1">
        <w:r w:rsidR="009C535A" w:rsidRPr="00240E6B">
          <w:rPr>
            <w:rStyle w:val="Hyperlink"/>
          </w:rPr>
          <w:t>B.</w:t>
        </w:r>
        <w:r w:rsidR="009C535A">
          <w:rPr>
            <w:rFonts w:asciiTheme="minorHAnsi" w:eastAsiaTheme="minorEastAsia" w:hAnsiTheme="minorHAnsi" w:cstheme="minorBidi"/>
            <w:bCs w:val="0"/>
            <w:caps w:val="0"/>
          </w:rPr>
          <w:tab/>
        </w:r>
        <w:r w:rsidR="009C535A" w:rsidRPr="00240E6B">
          <w:rPr>
            <w:rStyle w:val="Hyperlink"/>
          </w:rPr>
          <w:t>JUSTIFICATION FOR THE PROJECT</w:t>
        </w:r>
        <w:r w:rsidR="009C535A">
          <w:rPr>
            <w:webHidden/>
          </w:rPr>
          <w:tab/>
        </w:r>
        <w:r>
          <w:rPr>
            <w:webHidden/>
          </w:rPr>
          <w:fldChar w:fldCharType="begin"/>
        </w:r>
        <w:r w:rsidR="009C535A">
          <w:rPr>
            <w:webHidden/>
          </w:rPr>
          <w:instrText xml:space="preserve"> PAGEREF _Toc490318871 \h </w:instrText>
        </w:r>
        <w:r>
          <w:rPr>
            <w:webHidden/>
          </w:rPr>
        </w:r>
        <w:r>
          <w:rPr>
            <w:webHidden/>
          </w:rPr>
          <w:fldChar w:fldCharType="separate"/>
        </w:r>
        <w:r w:rsidR="009C535A">
          <w:rPr>
            <w:webHidden/>
          </w:rPr>
          <w:t>6</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2" w:history="1">
        <w:r w:rsidR="009C535A" w:rsidRPr="00240E6B">
          <w:rPr>
            <w:rStyle w:val="Hyperlink"/>
          </w:rPr>
          <w:t>C.</w:t>
        </w:r>
        <w:r w:rsidR="009C535A">
          <w:rPr>
            <w:rFonts w:asciiTheme="minorHAnsi" w:eastAsiaTheme="minorEastAsia" w:hAnsiTheme="minorHAnsi" w:cstheme="minorBidi"/>
            <w:bCs w:val="0"/>
            <w:caps w:val="0"/>
          </w:rPr>
          <w:tab/>
        </w:r>
        <w:r w:rsidR="009C535A" w:rsidRPr="00240E6B">
          <w:rPr>
            <w:rStyle w:val="Hyperlink"/>
          </w:rPr>
          <w:t>SCOPE OF THIS DUE-DILIGENCE REPORT:</w:t>
        </w:r>
        <w:r w:rsidR="009C535A">
          <w:rPr>
            <w:webHidden/>
          </w:rPr>
          <w:tab/>
        </w:r>
        <w:r>
          <w:rPr>
            <w:webHidden/>
          </w:rPr>
          <w:fldChar w:fldCharType="begin"/>
        </w:r>
        <w:r w:rsidR="009C535A">
          <w:rPr>
            <w:webHidden/>
          </w:rPr>
          <w:instrText xml:space="preserve"> PAGEREF _Toc490318872 \h </w:instrText>
        </w:r>
        <w:r>
          <w:rPr>
            <w:webHidden/>
          </w:rPr>
        </w:r>
        <w:r>
          <w:rPr>
            <w:webHidden/>
          </w:rPr>
          <w:fldChar w:fldCharType="separate"/>
        </w:r>
        <w:r w:rsidR="009C535A">
          <w:rPr>
            <w:webHidden/>
          </w:rPr>
          <w:t>9</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3" w:history="1">
        <w:r w:rsidR="009C535A" w:rsidRPr="00240E6B">
          <w:rPr>
            <w:rStyle w:val="Hyperlink"/>
          </w:rPr>
          <w:t>D.</w:t>
        </w:r>
        <w:r w:rsidR="009C535A">
          <w:rPr>
            <w:rFonts w:asciiTheme="minorHAnsi" w:eastAsiaTheme="minorEastAsia" w:hAnsiTheme="minorHAnsi" w:cstheme="minorBidi"/>
            <w:bCs w:val="0"/>
            <w:caps w:val="0"/>
          </w:rPr>
          <w:tab/>
        </w:r>
        <w:r w:rsidR="009C535A" w:rsidRPr="00240E6B">
          <w:rPr>
            <w:rStyle w:val="Hyperlink"/>
          </w:rPr>
          <w:t>OBJECTIVES OF THIS DUE-DILIGENCE REPORT:</w:t>
        </w:r>
        <w:r w:rsidR="009C535A">
          <w:rPr>
            <w:webHidden/>
          </w:rPr>
          <w:tab/>
        </w:r>
        <w:r>
          <w:rPr>
            <w:webHidden/>
          </w:rPr>
          <w:fldChar w:fldCharType="begin"/>
        </w:r>
        <w:r w:rsidR="009C535A">
          <w:rPr>
            <w:webHidden/>
          </w:rPr>
          <w:instrText xml:space="preserve"> PAGEREF _Toc490318873 \h </w:instrText>
        </w:r>
        <w:r>
          <w:rPr>
            <w:webHidden/>
          </w:rPr>
        </w:r>
        <w:r>
          <w:rPr>
            <w:webHidden/>
          </w:rPr>
          <w:fldChar w:fldCharType="separate"/>
        </w:r>
        <w:r w:rsidR="009C535A">
          <w:rPr>
            <w:webHidden/>
          </w:rPr>
          <w:t>9</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4" w:history="1">
        <w:r w:rsidR="009C535A" w:rsidRPr="00240E6B">
          <w:rPr>
            <w:rStyle w:val="Hyperlink"/>
          </w:rPr>
          <w:t>E.</w:t>
        </w:r>
        <w:r w:rsidR="009C535A">
          <w:rPr>
            <w:rFonts w:asciiTheme="minorHAnsi" w:eastAsiaTheme="minorEastAsia" w:hAnsiTheme="minorHAnsi" w:cstheme="minorBidi"/>
            <w:bCs w:val="0"/>
            <w:caps w:val="0"/>
          </w:rPr>
          <w:tab/>
        </w:r>
        <w:r w:rsidR="009C535A" w:rsidRPr="00240E6B">
          <w:rPr>
            <w:rStyle w:val="Hyperlink"/>
          </w:rPr>
          <w:t>PROJECT IMPACTS AND OUTPUTS</w:t>
        </w:r>
        <w:r w:rsidR="009C535A">
          <w:rPr>
            <w:webHidden/>
          </w:rPr>
          <w:tab/>
        </w:r>
        <w:r>
          <w:rPr>
            <w:webHidden/>
          </w:rPr>
          <w:fldChar w:fldCharType="begin"/>
        </w:r>
        <w:r w:rsidR="009C535A">
          <w:rPr>
            <w:webHidden/>
          </w:rPr>
          <w:instrText xml:space="preserve"> PAGEREF _Toc490318874 \h </w:instrText>
        </w:r>
        <w:r>
          <w:rPr>
            <w:webHidden/>
          </w:rPr>
        </w:r>
        <w:r>
          <w:rPr>
            <w:webHidden/>
          </w:rPr>
          <w:fldChar w:fldCharType="separate"/>
        </w:r>
        <w:r w:rsidR="009C535A">
          <w:rPr>
            <w:webHidden/>
          </w:rPr>
          <w:t>9</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5" w:history="1">
        <w:r w:rsidR="009C535A" w:rsidRPr="00240E6B">
          <w:rPr>
            <w:rStyle w:val="Hyperlink"/>
          </w:rPr>
          <w:t>F.</w:t>
        </w:r>
        <w:r w:rsidR="009C535A">
          <w:rPr>
            <w:rFonts w:asciiTheme="minorHAnsi" w:eastAsiaTheme="minorEastAsia" w:hAnsiTheme="minorHAnsi" w:cstheme="minorBidi"/>
            <w:bCs w:val="0"/>
            <w:caps w:val="0"/>
          </w:rPr>
          <w:tab/>
        </w:r>
        <w:r w:rsidR="009C535A" w:rsidRPr="00240E6B">
          <w:rPr>
            <w:rStyle w:val="Hyperlink"/>
          </w:rPr>
          <w:t>SCOPE OF LAND ACQUISITION AND RESETTLEMENT ISSUE</w:t>
        </w:r>
        <w:r w:rsidR="009C535A">
          <w:rPr>
            <w:webHidden/>
          </w:rPr>
          <w:tab/>
        </w:r>
        <w:r>
          <w:rPr>
            <w:webHidden/>
          </w:rPr>
          <w:fldChar w:fldCharType="begin"/>
        </w:r>
        <w:r w:rsidR="009C535A">
          <w:rPr>
            <w:webHidden/>
          </w:rPr>
          <w:instrText xml:space="preserve"> PAGEREF _Toc490318875 \h </w:instrText>
        </w:r>
        <w:r>
          <w:rPr>
            <w:webHidden/>
          </w:rPr>
        </w:r>
        <w:r>
          <w:rPr>
            <w:webHidden/>
          </w:rPr>
          <w:fldChar w:fldCharType="separate"/>
        </w:r>
        <w:r w:rsidR="009C535A">
          <w:rPr>
            <w:webHidden/>
          </w:rPr>
          <w:t>12</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6" w:history="1">
        <w:r w:rsidR="009C535A" w:rsidRPr="00240E6B">
          <w:rPr>
            <w:rStyle w:val="Hyperlink"/>
          </w:rPr>
          <w:t>G.</w:t>
        </w:r>
        <w:r w:rsidR="009C535A">
          <w:rPr>
            <w:rFonts w:asciiTheme="minorHAnsi" w:eastAsiaTheme="minorEastAsia" w:hAnsiTheme="minorHAnsi" w:cstheme="minorBidi"/>
            <w:bCs w:val="0"/>
            <w:caps w:val="0"/>
          </w:rPr>
          <w:tab/>
        </w:r>
        <w:r w:rsidR="009C535A" w:rsidRPr="00240E6B">
          <w:rPr>
            <w:rStyle w:val="Hyperlink"/>
          </w:rPr>
          <w:t>INDIGENOUS PEOPLES:</w:t>
        </w:r>
        <w:r w:rsidR="009C535A">
          <w:rPr>
            <w:webHidden/>
          </w:rPr>
          <w:tab/>
        </w:r>
        <w:r>
          <w:rPr>
            <w:webHidden/>
          </w:rPr>
          <w:fldChar w:fldCharType="begin"/>
        </w:r>
        <w:r w:rsidR="009C535A">
          <w:rPr>
            <w:webHidden/>
          </w:rPr>
          <w:instrText xml:space="preserve"> PAGEREF _Toc490318876 \h </w:instrText>
        </w:r>
        <w:r>
          <w:rPr>
            <w:webHidden/>
          </w:rPr>
        </w:r>
        <w:r>
          <w:rPr>
            <w:webHidden/>
          </w:rPr>
          <w:fldChar w:fldCharType="separate"/>
        </w:r>
        <w:r w:rsidR="009C535A">
          <w:rPr>
            <w:webHidden/>
          </w:rPr>
          <w:t>12</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7" w:history="1">
        <w:r w:rsidR="009C535A" w:rsidRPr="00240E6B">
          <w:rPr>
            <w:rStyle w:val="Hyperlink"/>
          </w:rPr>
          <w:t>H.</w:t>
        </w:r>
        <w:r w:rsidR="009C535A">
          <w:rPr>
            <w:rFonts w:asciiTheme="minorHAnsi" w:eastAsiaTheme="minorEastAsia" w:hAnsiTheme="minorHAnsi" w:cstheme="minorBidi"/>
            <w:bCs w:val="0"/>
            <w:caps w:val="0"/>
          </w:rPr>
          <w:tab/>
        </w:r>
        <w:r w:rsidR="009C535A" w:rsidRPr="00240E6B">
          <w:rPr>
            <w:rStyle w:val="Hyperlink"/>
          </w:rPr>
          <w:t>GENDER ISSUES:</w:t>
        </w:r>
        <w:r w:rsidR="009C535A">
          <w:rPr>
            <w:webHidden/>
          </w:rPr>
          <w:tab/>
        </w:r>
        <w:r>
          <w:rPr>
            <w:webHidden/>
          </w:rPr>
          <w:fldChar w:fldCharType="begin"/>
        </w:r>
        <w:r w:rsidR="009C535A">
          <w:rPr>
            <w:webHidden/>
          </w:rPr>
          <w:instrText xml:space="preserve"> PAGEREF _Toc490318877 \h </w:instrText>
        </w:r>
        <w:r>
          <w:rPr>
            <w:webHidden/>
          </w:rPr>
        </w:r>
        <w:r>
          <w:rPr>
            <w:webHidden/>
          </w:rPr>
          <w:fldChar w:fldCharType="separate"/>
        </w:r>
        <w:r w:rsidR="009C535A">
          <w:rPr>
            <w:webHidden/>
          </w:rPr>
          <w:t>12</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8" w:history="1">
        <w:r w:rsidR="009C535A" w:rsidRPr="00240E6B">
          <w:rPr>
            <w:rStyle w:val="Hyperlink"/>
          </w:rPr>
          <w:t>I.</w:t>
        </w:r>
        <w:r w:rsidR="009C535A">
          <w:rPr>
            <w:rFonts w:asciiTheme="minorHAnsi" w:eastAsiaTheme="minorEastAsia" w:hAnsiTheme="minorHAnsi" w:cstheme="minorBidi"/>
            <w:bCs w:val="0"/>
            <w:caps w:val="0"/>
          </w:rPr>
          <w:tab/>
        </w:r>
        <w:r w:rsidR="009C535A" w:rsidRPr="00240E6B">
          <w:rPr>
            <w:rStyle w:val="Hyperlink"/>
          </w:rPr>
          <w:t>PUBLIC CONSULTATIONS</w:t>
        </w:r>
        <w:r w:rsidR="009C535A">
          <w:rPr>
            <w:webHidden/>
          </w:rPr>
          <w:tab/>
        </w:r>
        <w:r>
          <w:rPr>
            <w:webHidden/>
          </w:rPr>
          <w:fldChar w:fldCharType="begin"/>
        </w:r>
        <w:r w:rsidR="009C535A">
          <w:rPr>
            <w:webHidden/>
          </w:rPr>
          <w:instrText xml:space="preserve"> PAGEREF _Toc490318878 \h </w:instrText>
        </w:r>
        <w:r>
          <w:rPr>
            <w:webHidden/>
          </w:rPr>
        </w:r>
        <w:r>
          <w:rPr>
            <w:webHidden/>
          </w:rPr>
          <w:fldChar w:fldCharType="separate"/>
        </w:r>
        <w:r w:rsidR="009C535A">
          <w:rPr>
            <w:webHidden/>
          </w:rPr>
          <w:t>13</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79" w:history="1">
        <w:r w:rsidR="009C535A" w:rsidRPr="00240E6B">
          <w:rPr>
            <w:rStyle w:val="Hyperlink"/>
          </w:rPr>
          <w:t>J.</w:t>
        </w:r>
        <w:r w:rsidR="009C535A">
          <w:rPr>
            <w:rFonts w:asciiTheme="minorHAnsi" w:eastAsiaTheme="minorEastAsia" w:hAnsiTheme="minorHAnsi" w:cstheme="minorBidi"/>
            <w:bCs w:val="0"/>
            <w:caps w:val="0"/>
          </w:rPr>
          <w:tab/>
        </w:r>
        <w:r w:rsidR="009C535A" w:rsidRPr="00240E6B">
          <w:rPr>
            <w:rStyle w:val="Hyperlink"/>
          </w:rPr>
          <w:t>GRIEVANCE REDRESS MECHANISM</w:t>
        </w:r>
        <w:r w:rsidR="009C535A">
          <w:rPr>
            <w:webHidden/>
          </w:rPr>
          <w:tab/>
        </w:r>
        <w:r>
          <w:rPr>
            <w:webHidden/>
          </w:rPr>
          <w:fldChar w:fldCharType="begin"/>
        </w:r>
        <w:r w:rsidR="009C535A">
          <w:rPr>
            <w:webHidden/>
          </w:rPr>
          <w:instrText xml:space="preserve"> PAGEREF _Toc490318879 \h </w:instrText>
        </w:r>
        <w:r>
          <w:rPr>
            <w:webHidden/>
          </w:rPr>
        </w:r>
        <w:r>
          <w:rPr>
            <w:webHidden/>
          </w:rPr>
          <w:fldChar w:fldCharType="separate"/>
        </w:r>
        <w:r w:rsidR="009C535A">
          <w:rPr>
            <w:webHidden/>
          </w:rPr>
          <w:t>13</w:t>
        </w:r>
        <w:r>
          <w:rPr>
            <w:webHidden/>
          </w:rPr>
          <w:fldChar w:fldCharType="end"/>
        </w:r>
      </w:hyperlink>
    </w:p>
    <w:p w:rsidR="009C535A" w:rsidRDefault="009533E5">
      <w:pPr>
        <w:pStyle w:val="TOC2"/>
        <w:tabs>
          <w:tab w:val="right" w:pos="9595"/>
        </w:tabs>
        <w:rPr>
          <w:rFonts w:asciiTheme="minorHAnsi" w:eastAsiaTheme="minorEastAsia" w:hAnsiTheme="minorHAnsi" w:cstheme="minorBidi"/>
          <w:b w:val="0"/>
          <w:bCs w:val="0"/>
          <w:noProof/>
          <w:sz w:val="22"/>
          <w:szCs w:val="22"/>
        </w:rPr>
      </w:pPr>
      <w:hyperlink w:anchor="_Toc490318880" w:history="1">
        <w:r w:rsidR="009C535A" w:rsidRPr="00240E6B">
          <w:rPr>
            <w:rStyle w:val="Hyperlink"/>
            <w:rFonts w:cs="Arial"/>
            <w:i/>
            <w:iCs/>
            <w:noProof/>
            <w:spacing w:val="-1"/>
          </w:rPr>
          <w:t>Co</w:t>
        </w:r>
        <w:r w:rsidR="009C535A" w:rsidRPr="00240E6B">
          <w:rPr>
            <w:rStyle w:val="Hyperlink"/>
            <w:rFonts w:cs="Arial"/>
            <w:i/>
            <w:iCs/>
            <w:noProof/>
          </w:rPr>
          <w:t>mpo</w:t>
        </w:r>
        <w:r w:rsidR="009C535A" w:rsidRPr="00240E6B">
          <w:rPr>
            <w:rStyle w:val="Hyperlink"/>
            <w:rFonts w:cs="Arial"/>
            <w:i/>
            <w:iCs/>
            <w:noProof/>
            <w:spacing w:val="-1"/>
          </w:rPr>
          <w:t>s</w:t>
        </w:r>
        <w:r w:rsidR="009C535A" w:rsidRPr="00240E6B">
          <w:rPr>
            <w:rStyle w:val="Hyperlink"/>
            <w:rFonts w:cs="Arial"/>
            <w:i/>
            <w:iCs/>
            <w:noProof/>
            <w:spacing w:val="1"/>
          </w:rPr>
          <w:t>i</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on a</w:t>
        </w:r>
        <w:r w:rsidR="009C535A" w:rsidRPr="00240E6B">
          <w:rPr>
            <w:rStyle w:val="Hyperlink"/>
            <w:rFonts w:cs="Arial"/>
            <w:i/>
            <w:iCs/>
            <w:noProof/>
            <w:spacing w:val="-1"/>
          </w:rPr>
          <w:t>n</w:t>
        </w:r>
        <w:r w:rsidR="009C535A" w:rsidRPr="00240E6B">
          <w:rPr>
            <w:rStyle w:val="Hyperlink"/>
            <w:rFonts w:cs="Arial"/>
            <w:i/>
            <w:iCs/>
            <w:noProof/>
          </w:rPr>
          <w:t xml:space="preserve">d </w:t>
        </w:r>
        <w:r w:rsidR="009C535A" w:rsidRPr="00240E6B">
          <w:rPr>
            <w:rStyle w:val="Hyperlink"/>
            <w:rFonts w:cs="Arial"/>
            <w:i/>
            <w:iCs/>
            <w:noProof/>
            <w:spacing w:val="1"/>
          </w:rPr>
          <w:t>f</w:t>
        </w:r>
        <w:r w:rsidR="009C535A" w:rsidRPr="00240E6B">
          <w:rPr>
            <w:rStyle w:val="Hyperlink"/>
            <w:rFonts w:cs="Arial"/>
            <w:i/>
            <w:iCs/>
            <w:noProof/>
          </w:rPr>
          <w:t>u</w:t>
        </w:r>
        <w:r w:rsidR="009C535A" w:rsidRPr="00240E6B">
          <w:rPr>
            <w:rStyle w:val="Hyperlink"/>
            <w:rFonts w:cs="Arial"/>
            <w:i/>
            <w:iCs/>
            <w:noProof/>
            <w:spacing w:val="-1"/>
          </w:rPr>
          <w:t>n</w:t>
        </w:r>
        <w:r w:rsidR="009C535A" w:rsidRPr="00240E6B">
          <w:rPr>
            <w:rStyle w:val="Hyperlink"/>
            <w:rFonts w:cs="Arial"/>
            <w:i/>
            <w:iCs/>
            <w:noProof/>
            <w:spacing w:val="-3"/>
          </w:rPr>
          <w:t>c</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w:t>
        </w:r>
        <w:r w:rsidR="009C535A" w:rsidRPr="00240E6B">
          <w:rPr>
            <w:rStyle w:val="Hyperlink"/>
            <w:rFonts w:cs="Arial"/>
            <w:i/>
            <w:iCs/>
            <w:noProof/>
            <w:spacing w:val="-1"/>
          </w:rPr>
          <w:t>n</w:t>
        </w:r>
        <w:r w:rsidR="009C535A" w:rsidRPr="00240E6B">
          <w:rPr>
            <w:rStyle w:val="Hyperlink"/>
            <w:rFonts w:cs="Arial"/>
            <w:i/>
            <w:iCs/>
            <w:noProof/>
          </w:rPr>
          <w:t xml:space="preserve">s </w:t>
        </w:r>
        <w:r w:rsidR="009C535A" w:rsidRPr="00240E6B">
          <w:rPr>
            <w:rStyle w:val="Hyperlink"/>
            <w:rFonts w:cs="Arial"/>
            <w:i/>
            <w:iCs/>
            <w:noProof/>
            <w:spacing w:val="-2"/>
          </w:rPr>
          <w:t>o</w:t>
        </w:r>
        <w:r w:rsidR="009C535A" w:rsidRPr="00240E6B">
          <w:rPr>
            <w:rStyle w:val="Hyperlink"/>
            <w:rFonts w:cs="Arial"/>
            <w:i/>
            <w:iCs/>
            <w:noProof/>
          </w:rPr>
          <w:t xml:space="preserve">f </w:t>
        </w:r>
        <w:r w:rsidR="009C535A" w:rsidRPr="00240E6B">
          <w:rPr>
            <w:rStyle w:val="Hyperlink"/>
            <w:rFonts w:cs="Arial"/>
            <w:i/>
            <w:iCs/>
            <w:noProof/>
            <w:spacing w:val="1"/>
          </w:rPr>
          <w:t>G</w:t>
        </w:r>
        <w:r w:rsidR="009C535A" w:rsidRPr="00240E6B">
          <w:rPr>
            <w:rStyle w:val="Hyperlink"/>
            <w:rFonts w:cs="Arial"/>
            <w:i/>
            <w:iCs/>
            <w:noProof/>
            <w:spacing w:val="-1"/>
          </w:rPr>
          <w:t>R</w:t>
        </w:r>
        <w:r w:rsidR="009C535A" w:rsidRPr="00240E6B">
          <w:rPr>
            <w:rStyle w:val="Hyperlink"/>
            <w:rFonts w:cs="Arial"/>
            <w:i/>
            <w:iCs/>
            <w:noProof/>
          </w:rPr>
          <w:t>C</w:t>
        </w:r>
        <w:r w:rsidR="009C535A">
          <w:rPr>
            <w:noProof/>
            <w:webHidden/>
          </w:rPr>
          <w:tab/>
        </w:r>
        <w:r>
          <w:rPr>
            <w:noProof/>
            <w:webHidden/>
          </w:rPr>
          <w:fldChar w:fldCharType="begin"/>
        </w:r>
        <w:r w:rsidR="009C535A">
          <w:rPr>
            <w:noProof/>
            <w:webHidden/>
          </w:rPr>
          <w:instrText xml:space="preserve"> PAGEREF _Toc490318880 \h </w:instrText>
        </w:r>
        <w:r>
          <w:rPr>
            <w:noProof/>
            <w:webHidden/>
          </w:rPr>
        </w:r>
        <w:r>
          <w:rPr>
            <w:noProof/>
            <w:webHidden/>
          </w:rPr>
          <w:fldChar w:fldCharType="separate"/>
        </w:r>
        <w:r w:rsidR="009C535A">
          <w:rPr>
            <w:noProof/>
            <w:webHidden/>
          </w:rPr>
          <w:t>14</w:t>
        </w:r>
        <w:r>
          <w:rPr>
            <w:noProof/>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81" w:history="1">
        <w:r w:rsidR="009C535A" w:rsidRPr="00240E6B">
          <w:rPr>
            <w:rStyle w:val="Hyperlink"/>
          </w:rPr>
          <w:t>K.</w:t>
        </w:r>
        <w:r w:rsidR="009C535A">
          <w:rPr>
            <w:rFonts w:asciiTheme="minorHAnsi" w:eastAsiaTheme="minorEastAsia" w:hAnsiTheme="minorHAnsi" w:cstheme="minorBidi"/>
            <w:bCs w:val="0"/>
            <w:caps w:val="0"/>
          </w:rPr>
          <w:tab/>
        </w:r>
        <w:r w:rsidR="009C535A" w:rsidRPr="00240E6B">
          <w:rPr>
            <w:rStyle w:val="Hyperlink"/>
          </w:rPr>
          <w:t>FINDINGS:</w:t>
        </w:r>
        <w:r w:rsidR="009C535A">
          <w:rPr>
            <w:webHidden/>
          </w:rPr>
          <w:tab/>
        </w:r>
        <w:r>
          <w:rPr>
            <w:webHidden/>
          </w:rPr>
          <w:fldChar w:fldCharType="begin"/>
        </w:r>
        <w:r w:rsidR="009C535A">
          <w:rPr>
            <w:webHidden/>
          </w:rPr>
          <w:instrText xml:space="preserve"> PAGEREF _Toc490318881 \h </w:instrText>
        </w:r>
        <w:r>
          <w:rPr>
            <w:webHidden/>
          </w:rPr>
        </w:r>
        <w:r>
          <w:rPr>
            <w:webHidden/>
          </w:rPr>
          <w:fldChar w:fldCharType="separate"/>
        </w:r>
        <w:r w:rsidR="009C535A">
          <w:rPr>
            <w:webHidden/>
          </w:rPr>
          <w:t>15</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82" w:history="1">
        <w:r w:rsidR="009C535A" w:rsidRPr="00240E6B">
          <w:rPr>
            <w:rStyle w:val="Hyperlink"/>
          </w:rPr>
          <w:t>L.</w:t>
        </w:r>
        <w:r w:rsidR="009C535A">
          <w:rPr>
            <w:rFonts w:asciiTheme="minorHAnsi" w:eastAsiaTheme="minorEastAsia" w:hAnsiTheme="minorHAnsi" w:cstheme="minorBidi"/>
            <w:bCs w:val="0"/>
            <w:caps w:val="0"/>
          </w:rPr>
          <w:tab/>
        </w:r>
        <w:r w:rsidR="009C535A" w:rsidRPr="00240E6B">
          <w:rPr>
            <w:rStyle w:val="Hyperlink"/>
          </w:rPr>
          <w:t>OTHER SOCIAL MEASURES AND SUGGESTIONS:</w:t>
        </w:r>
        <w:r w:rsidR="009C535A">
          <w:rPr>
            <w:webHidden/>
          </w:rPr>
          <w:tab/>
        </w:r>
        <w:r>
          <w:rPr>
            <w:webHidden/>
          </w:rPr>
          <w:fldChar w:fldCharType="begin"/>
        </w:r>
        <w:r w:rsidR="009C535A">
          <w:rPr>
            <w:webHidden/>
          </w:rPr>
          <w:instrText xml:space="preserve"> PAGEREF _Toc490318882 \h </w:instrText>
        </w:r>
        <w:r>
          <w:rPr>
            <w:webHidden/>
          </w:rPr>
        </w:r>
        <w:r>
          <w:rPr>
            <w:webHidden/>
          </w:rPr>
          <w:fldChar w:fldCharType="separate"/>
        </w:r>
        <w:r w:rsidR="009C535A">
          <w:rPr>
            <w:webHidden/>
          </w:rPr>
          <w:t>16</w:t>
        </w:r>
        <w:r>
          <w:rPr>
            <w:webHidden/>
          </w:rPr>
          <w:fldChar w:fldCharType="end"/>
        </w:r>
      </w:hyperlink>
    </w:p>
    <w:p w:rsidR="009C535A" w:rsidRDefault="009533E5">
      <w:pPr>
        <w:pStyle w:val="TOC1"/>
        <w:rPr>
          <w:rFonts w:asciiTheme="minorHAnsi" w:eastAsiaTheme="minorEastAsia" w:hAnsiTheme="minorHAnsi" w:cstheme="minorBidi"/>
          <w:bCs w:val="0"/>
          <w:caps w:val="0"/>
        </w:rPr>
      </w:pPr>
      <w:hyperlink w:anchor="_Toc490318883" w:history="1">
        <w:r w:rsidR="009C535A" w:rsidRPr="00240E6B">
          <w:rPr>
            <w:rStyle w:val="Hyperlink"/>
          </w:rPr>
          <w:t>M.</w:t>
        </w:r>
        <w:r w:rsidR="009C535A">
          <w:rPr>
            <w:rFonts w:asciiTheme="minorHAnsi" w:eastAsiaTheme="minorEastAsia" w:hAnsiTheme="minorHAnsi" w:cstheme="minorBidi"/>
            <w:bCs w:val="0"/>
            <w:caps w:val="0"/>
          </w:rPr>
          <w:tab/>
        </w:r>
        <w:r w:rsidR="009C535A" w:rsidRPr="00240E6B">
          <w:rPr>
            <w:rStyle w:val="Hyperlink"/>
          </w:rPr>
          <w:t>CONCLUSION AND RECOMMENDATIONS</w:t>
        </w:r>
        <w:r w:rsidR="009C535A">
          <w:rPr>
            <w:webHidden/>
          </w:rPr>
          <w:tab/>
        </w:r>
        <w:r>
          <w:rPr>
            <w:webHidden/>
          </w:rPr>
          <w:fldChar w:fldCharType="begin"/>
        </w:r>
        <w:r w:rsidR="009C535A">
          <w:rPr>
            <w:webHidden/>
          </w:rPr>
          <w:instrText xml:space="preserve"> PAGEREF _Toc490318883 \h </w:instrText>
        </w:r>
        <w:r>
          <w:rPr>
            <w:webHidden/>
          </w:rPr>
        </w:r>
        <w:r>
          <w:rPr>
            <w:webHidden/>
          </w:rPr>
          <w:fldChar w:fldCharType="separate"/>
        </w:r>
        <w:r w:rsidR="009C535A">
          <w:rPr>
            <w:webHidden/>
          </w:rPr>
          <w:t>16</w:t>
        </w:r>
        <w:r>
          <w:rPr>
            <w:webHidden/>
          </w:rPr>
          <w:fldChar w:fldCharType="end"/>
        </w:r>
      </w:hyperlink>
    </w:p>
    <w:p w:rsidR="00DA5970" w:rsidRDefault="009533E5" w:rsidP="00EB48C3">
      <w:pPr>
        <w:pStyle w:val="TOC1"/>
      </w:pPr>
      <w:r w:rsidRPr="00D00A3B">
        <w:fldChar w:fldCharType="end"/>
      </w:r>
      <w:bookmarkStart w:id="10" w:name="_Toc389050320"/>
      <w:bookmarkStart w:id="11" w:name="_TOC_250022"/>
      <w:bookmarkStart w:id="12"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4B7D2D" w:rsidRDefault="004B7D2D" w:rsidP="00D84318">
      <w:pPr>
        <w:pStyle w:val="Heading1"/>
      </w:pPr>
      <w:bookmarkStart w:id="13" w:name="_Toc490318869"/>
    </w:p>
    <w:p w:rsidR="00865341" w:rsidRPr="00D84318" w:rsidRDefault="00865341" w:rsidP="00D84318">
      <w:pPr>
        <w:pStyle w:val="Heading1"/>
      </w:pPr>
      <w:r w:rsidRPr="00D84318">
        <w:lastRenderedPageBreak/>
        <w:t>Executive Summary</w:t>
      </w:r>
      <w:bookmarkEnd w:id="13"/>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sidR="000129CF">
        <w:rPr>
          <w:rFonts w:ascii="Arial" w:hAnsi="Arial" w:cs="Arial"/>
        </w:rPr>
        <w:t xml:space="preserve">Technical Education </w:t>
      </w:r>
      <w:r>
        <w:rPr>
          <w:rFonts w:ascii="Arial" w:hAnsi="Arial" w:cs="Arial"/>
        </w:rPr>
        <w:t>(D</w:t>
      </w:r>
      <w:r w:rsidR="000129CF">
        <w:rPr>
          <w:rFonts w:ascii="Arial" w:hAnsi="Arial" w:cs="Arial"/>
        </w:rPr>
        <w:t>OTE</w:t>
      </w:r>
      <w:r>
        <w:rPr>
          <w:rFonts w:ascii="Arial" w:hAnsi="Arial" w:cs="Arial"/>
        </w:rPr>
        <w:t>)</w:t>
      </w:r>
      <w:r w:rsidR="009B471B">
        <w:rPr>
          <w:rFonts w:ascii="Arial" w:hAnsi="Arial" w:cs="Arial"/>
        </w:rPr>
        <w:t>, Government</w:t>
      </w:r>
      <w:r w:rsidRPr="00FA7F37">
        <w:rPr>
          <w:rFonts w:ascii="Arial" w:hAnsi="Arial" w:cs="Arial"/>
        </w:rPr>
        <w:t xml:space="preserve">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w:t>
      </w:r>
      <w:r w:rsidR="009B471B">
        <w:rPr>
          <w:rFonts w:ascii="Arial" w:hAnsi="Arial" w:cs="Arial"/>
        </w:rPr>
        <w:t>Project in</w:t>
      </w:r>
      <w:r>
        <w:rPr>
          <w:rFonts w:ascii="Arial" w:hAnsi="Arial" w:cs="Arial"/>
        </w:rPr>
        <w:t xml:space="preserve"> the </w:t>
      </w:r>
      <w:r w:rsidR="009B471B">
        <w:rPr>
          <w:rFonts w:ascii="Arial" w:hAnsi="Arial" w:cs="Arial"/>
        </w:rPr>
        <w:t xml:space="preserve">state </w:t>
      </w:r>
      <w:r w:rsidR="009B471B" w:rsidRPr="00FA7F37">
        <w:rPr>
          <w:rFonts w:ascii="Arial" w:hAnsi="Arial" w:cs="Arial"/>
        </w:rPr>
        <w:t>with</w:t>
      </w:r>
      <w:r>
        <w:rPr>
          <w:rFonts w:ascii="Arial" w:hAnsi="Arial" w:cs="Arial"/>
        </w:rPr>
        <w:t xml:space="preserve"> an aim of improvement in livelihood opportunities and employability of Himachali youth aged 16 to 30 years. The outputs of the project are (a) Technical and Vocational Educational Training (TVET) in the state is scaled up and aligned to national standards, (b) market aligned skills ecosystem is created</w:t>
      </w:r>
      <w:r w:rsidR="00B82733">
        <w:rPr>
          <w:rFonts w:ascii="Arial" w:hAnsi="Arial" w:cs="Arial"/>
        </w:rPr>
        <w:t xml:space="preserve"> </w:t>
      </w:r>
      <w:r>
        <w:rPr>
          <w:rFonts w:ascii="Arial" w:hAnsi="Arial" w:cs="Arial"/>
        </w:rPr>
        <w:t xml:space="preserve"> </w:t>
      </w:r>
      <w:r w:rsidR="00B82733">
        <w:rPr>
          <w:rFonts w:ascii="Arial" w:hAnsi="Arial" w:cs="Arial"/>
        </w:rPr>
        <w:t>(</w:t>
      </w:r>
      <w:r>
        <w:rPr>
          <w:rFonts w:ascii="Arial" w:hAnsi="Arial" w:cs="Arial"/>
        </w:rPr>
        <w:t xml:space="preserve">c) access to quality  training institutes is improved, and ( d) capacity of HPKVN is improved as it is entrusted  to deliver mandate of Himachal Pradesh Skill Development Mission (HPSDM).   </w:t>
      </w:r>
    </w:p>
    <w:p w:rsidR="00A3300E" w:rsidRPr="00A3300E" w:rsidRDefault="004B76B2"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The Department</w:t>
      </w:r>
      <w:r w:rsidR="00A91206" w:rsidRPr="00A91206">
        <w:rPr>
          <w:rFonts w:ascii="Arial" w:hAnsi="Arial" w:cs="Arial"/>
        </w:rPr>
        <w:t xml:space="preserve"> of </w:t>
      </w:r>
      <w:r w:rsidR="000129CF">
        <w:rPr>
          <w:rFonts w:ascii="Arial" w:hAnsi="Arial" w:cs="Arial"/>
        </w:rPr>
        <w:t>Technical Education</w:t>
      </w:r>
      <w:r w:rsidR="00A91206" w:rsidRPr="00A91206">
        <w:rPr>
          <w:rFonts w:ascii="Arial" w:hAnsi="Arial" w:cs="Arial"/>
        </w:rPr>
        <w:t>, Government of Himachal Pradesh is the Executive Agency (EA) for the project. The implementing agencies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00A91206" w:rsidRPr="00A91206">
        <w:rPr>
          <w:rFonts w:ascii="Arial" w:hAnsi="Arial" w:cs="Arial"/>
        </w:rPr>
        <w:t xml:space="preserve">(DoTE), Department of Urban Development (DoUD), Public Works Departments (PWD) and Department of </w:t>
      </w:r>
      <w:r w:rsidR="002B7091">
        <w:rPr>
          <w:rFonts w:ascii="Arial" w:hAnsi="Arial" w:cs="Arial"/>
        </w:rPr>
        <w:t>Higher Education</w:t>
      </w:r>
      <w:r w:rsidR="00A91206" w:rsidRPr="00A91206">
        <w:rPr>
          <w:rFonts w:ascii="Arial" w:hAnsi="Arial" w:cs="Arial"/>
        </w:rPr>
        <w:t xml:space="preserve"> (Do</w:t>
      </w:r>
      <w:r w:rsidR="002B7091">
        <w:rPr>
          <w:rFonts w:ascii="Arial" w:hAnsi="Arial" w:cs="Arial"/>
        </w:rPr>
        <w:t>HE</w:t>
      </w:r>
      <w:r w:rsidR="00A91206" w:rsidRPr="00A91206">
        <w:rPr>
          <w:rFonts w:ascii="Arial" w:hAnsi="Arial" w:cs="Arial"/>
        </w:rPr>
        <w:t xml:space="preserve">). </w:t>
      </w:r>
      <w:r w:rsidR="00A91206" w:rsidRPr="0012698E">
        <w:rPr>
          <w:rFonts w:ascii="Arial" w:hAnsi="Arial" w:cs="Arial"/>
        </w:rPr>
        <w:t xml:space="preserve">The </w:t>
      </w:r>
      <w:r w:rsidR="009B471B" w:rsidRPr="0012698E">
        <w:rPr>
          <w:rFonts w:ascii="Arial" w:hAnsi="Arial" w:cs="Arial"/>
        </w:rPr>
        <w:t xml:space="preserve">Environmental </w:t>
      </w:r>
      <w:r w:rsidR="009B471B" w:rsidRPr="00A91206">
        <w:rPr>
          <w:rFonts w:ascii="Arial" w:hAnsi="Arial" w:cs="Arial"/>
        </w:rPr>
        <w:t>and</w:t>
      </w:r>
      <w:r w:rsidR="00A91206" w:rsidRPr="00A91206">
        <w:rPr>
          <w:rFonts w:ascii="Arial" w:hAnsi="Arial" w:cs="Arial"/>
        </w:rPr>
        <w:t xml:space="preserve"> </w:t>
      </w:r>
      <w:r w:rsidR="00A91206"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w:t>
      </w:r>
      <w:r w:rsidR="002B7091" w:rsidRPr="0012698E">
        <w:rPr>
          <w:rFonts w:ascii="Arial" w:hAnsi="Arial" w:cs="Arial"/>
        </w:rPr>
        <w:t>The ESMF</w:t>
      </w:r>
      <w:r w:rsidR="00A91206" w:rsidRPr="0012698E">
        <w:rPr>
          <w:rFonts w:ascii="Arial" w:hAnsi="Arial" w:cs="Arial"/>
        </w:rPr>
        <w:t xml:space="preserve"> will be followed in planning and implementation of this </w:t>
      </w:r>
      <w:r w:rsidR="00A91206" w:rsidRPr="00A91206">
        <w:rPr>
          <w:rFonts w:ascii="Arial" w:hAnsi="Arial" w:cs="Arial"/>
        </w:rPr>
        <w:t>project</w:t>
      </w:r>
      <w:r w:rsidR="00A91206" w:rsidRPr="0012698E">
        <w:rPr>
          <w:rFonts w:ascii="Arial" w:hAnsi="Arial" w:cs="Arial"/>
        </w:rPr>
        <w:t xml:space="preserve">. </w:t>
      </w:r>
      <w:r w:rsidR="00A91206" w:rsidRPr="00A91206">
        <w:rPr>
          <w:rFonts w:ascii="Arial" w:hAnsi="Arial" w:cs="Arial"/>
        </w:rPr>
        <w:t xml:space="preserve"> As part of project  there is proposal to </w:t>
      </w:r>
      <w:r w:rsidR="00A3300E">
        <w:rPr>
          <w:rFonts w:ascii="Arial" w:hAnsi="Arial" w:cs="Arial"/>
        </w:rPr>
        <w:t>upgrade</w:t>
      </w:r>
      <w:r w:rsidR="00A91206" w:rsidRPr="00A91206">
        <w:rPr>
          <w:rFonts w:ascii="Arial" w:hAnsi="Arial" w:cs="Arial"/>
        </w:rPr>
        <w:t xml:space="preserve"> 1</w:t>
      </w:r>
      <w:r w:rsidR="00A3300E">
        <w:rPr>
          <w:rFonts w:ascii="Arial" w:hAnsi="Arial" w:cs="Arial"/>
        </w:rPr>
        <w:t xml:space="preserve">1 existing Employment Exchanges into </w:t>
      </w:r>
      <w:r w:rsidR="00A91206" w:rsidRPr="00A91206">
        <w:rPr>
          <w:rFonts w:ascii="Arial" w:hAnsi="Arial" w:cs="Arial"/>
        </w:rPr>
        <w:t xml:space="preserve"> Model Career Centers (MCCs),</w:t>
      </w:r>
      <w:r w:rsidR="00A3300E">
        <w:rPr>
          <w:rFonts w:ascii="Arial" w:hAnsi="Arial" w:cs="Arial"/>
        </w:rPr>
        <w:t xml:space="preserve"> </w:t>
      </w:r>
      <w:r w:rsidR="00841DB3">
        <w:rPr>
          <w:rFonts w:ascii="Arial" w:hAnsi="Arial" w:cs="Arial"/>
        </w:rPr>
        <w:t xml:space="preserve"> few</w:t>
      </w:r>
      <w:r w:rsidR="00A3300E">
        <w:rPr>
          <w:rFonts w:ascii="Arial" w:hAnsi="Arial" w:cs="Arial"/>
        </w:rPr>
        <w:t xml:space="preserve"> </w:t>
      </w:r>
      <w:r w:rsidR="009256F3">
        <w:rPr>
          <w:rFonts w:ascii="Arial" w:hAnsi="Arial" w:cs="Arial"/>
        </w:rPr>
        <w:t xml:space="preserve"> new </w:t>
      </w:r>
      <w:r w:rsidR="00A3300E">
        <w:rPr>
          <w:rFonts w:ascii="Arial" w:hAnsi="Arial" w:cs="Arial"/>
        </w:rPr>
        <w:t>MCC</w:t>
      </w:r>
      <w:r w:rsidR="00841DB3">
        <w:rPr>
          <w:rFonts w:ascii="Arial" w:hAnsi="Arial" w:cs="Arial"/>
        </w:rPr>
        <w:t>s</w:t>
      </w:r>
      <w:r w:rsidR="00A3300E">
        <w:rPr>
          <w:rFonts w:ascii="Arial" w:hAnsi="Arial" w:cs="Arial"/>
        </w:rPr>
        <w:t xml:space="preserve">, </w:t>
      </w:r>
      <w:r w:rsidR="00A91206" w:rsidRPr="00A91206">
        <w:rPr>
          <w:rFonts w:ascii="Arial" w:hAnsi="Arial" w:cs="Arial"/>
        </w:rPr>
        <w:t xml:space="preserve"> </w:t>
      </w:r>
      <w:r w:rsidR="00A3300E">
        <w:rPr>
          <w:rFonts w:ascii="Arial" w:hAnsi="Arial" w:cs="Arial"/>
        </w:rPr>
        <w:t>7</w:t>
      </w:r>
      <w:r w:rsidR="00A91206" w:rsidRPr="00A91206">
        <w:rPr>
          <w:rFonts w:ascii="Arial" w:hAnsi="Arial" w:cs="Arial"/>
        </w:rPr>
        <w:t xml:space="preserve"> Rural Livelihood Centers (RLCs), </w:t>
      </w:r>
      <w:r w:rsidR="00A3300E">
        <w:rPr>
          <w:rFonts w:ascii="Arial" w:hAnsi="Arial" w:cs="Arial"/>
        </w:rPr>
        <w:t>6</w:t>
      </w:r>
      <w:r w:rsidR="00A91206" w:rsidRPr="00A91206">
        <w:rPr>
          <w:rFonts w:ascii="Arial" w:hAnsi="Arial" w:cs="Arial"/>
        </w:rPr>
        <w:t xml:space="preserve"> City Livelihood Centers (CLCs) and one Women Polytechnic (in Rehan in Kangra district). In addition to these infrastructure facilities for skill development</w:t>
      </w:r>
      <w:r w:rsidR="00F84707" w:rsidRPr="00A91206">
        <w:rPr>
          <w:rFonts w:ascii="Arial" w:hAnsi="Arial" w:cs="Arial"/>
        </w:rPr>
        <w:t>, 50</w:t>
      </w:r>
      <w:r w:rsidR="00A91206" w:rsidRPr="00A91206">
        <w:rPr>
          <w:rFonts w:ascii="Arial" w:hAnsi="Arial" w:cs="Arial"/>
        </w:rPr>
        <w:t xml:space="preserve"> ITIs will be upgraded through installation of </w:t>
      </w:r>
      <w:r w:rsidR="00F84707" w:rsidRPr="00A91206">
        <w:rPr>
          <w:rFonts w:ascii="Arial" w:hAnsi="Arial" w:cs="Arial"/>
        </w:rPr>
        <w:t>equipment to</w:t>
      </w:r>
      <w:r w:rsidR="00A91206" w:rsidRPr="00A91206">
        <w:rPr>
          <w:rFonts w:ascii="Arial" w:hAnsi="Arial" w:cs="Arial"/>
        </w:rPr>
        <w:t xml:space="preserve">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w:t>
      </w:r>
      <w:r w:rsidR="00F84707">
        <w:rPr>
          <w:rFonts w:ascii="Arial" w:hAnsi="Arial" w:cs="Arial"/>
        </w:rPr>
        <w:t>the</w:t>
      </w:r>
      <w:r w:rsidR="002B7091">
        <w:rPr>
          <w:rFonts w:ascii="Arial" w:hAnsi="Arial" w:cs="Arial"/>
        </w:rPr>
        <w:t xml:space="preserve"> proposed </w:t>
      </w:r>
      <w:r w:rsidR="00F84707">
        <w:rPr>
          <w:rFonts w:ascii="Arial" w:hAnsi="Arial" w:cs="Arial"/>
        </w:rPr>
        <w:t xml:space="preserve"> </w:t>
      </w:r>
      <w:r w:rsidR="000129CF">
        <w:rPr>
          <w:rFonts w:ascii="Arial" w:hAnsi="Arial" w:cs="Arial"/>
        </w:rPr>
        <w:t xml:space="preserve"> CLC at Bilaspur city. </w:t>
      </w:r>
      <w:r w:rsidR="00ED1591">
        <w:rPr>
          <w:rFonts w:ascii="Arial" w:hAnsi="Arial" w:cs="Arial"/>
        </w:rPr>
        <w:t xml:space="preserve">  </w:t>
      </w:r>
    </w:p>
    <w:p w:rsidR="00BE6017" w:rsidRPr="00CC60BA" w:rsidRDefault="00341623" w:rsidP="00BE6017">
      <w:pPr>
        <w:pStyle w:val="ListParagraph"/>
        <w:numPr>
          <w:ilvl w:val="0"/>
          <w:numId w:val="33"/>
        </w:numPr>
        <w:spacing w:after="240" w:line="360" w:lineRule="auto"/>
        <w:ind w:left="426" w:hanging="426"/>
        <w:rPr>
          <w:rFonts w:ascii="Arial" w:hAnsi="Arial" w:cs="Arial"/>
        </w:rPr>
      </w:pPr>
      <w:r w:rsidRPr="00ED1591">
        <w:rPr>
          <w:rFonts w:ascii="Arial" w:hAnsi="Arial" w:cs="Arial"/>
        </w:rPr>
        <w:t xml:space="preserve">The </w:t>
      </w:r>
      <w:r w:rsidR="00BE6017">
        <w:rPr>
          <w:rFonts w:ascii="Arial" w:hAnsi="Arial" w:cs="Arial"/>
        </w:rPr>
        <w:t xml:space="preserve">CLC </w:t>
      </w:r>
      <w:r w:rsidR="00BE6017" w:rsidRPr="00ED1591">
        <w:rPr>
          <w:rFonts w:ascii="Arial" w:hAnsi="Arial" w:cs="Arial"/>
        </w:rPr>
        <w:t>proposed</w:t>
      </w:r>
      <w:r w:rsidRPr="00ED1591">
        <w:rPr>
          <w:rFonts w:ascii="Arial" w:hAnsi="Arial" w:cs="Arial"/>
        </w:rPr>
        <w:t xml:space="preserve"> at </w:t>
      </w:r>
      <w:r w:rsidR="000129CF">
        <w:rPr>
          <w:rFonts w:ascii="Arial" w:hAnsi="Arial" w:cs="Arial"/>
        </w:rPr>
        <w:t>Bilaspur</w:t>
      </w:r>
      <w:r w:rsidRPr="00ED1591">
        <w:rPr>
          <w:rFonts w:ascii="Arial" w:hAnsi="Arial" w:cs="Arial"/>
        </w:rPr>
        <w:t xml:space="preserve"> will provide facilities to </w:t>
      </w:r>
      <w:r w:rsidR="00F711AC" w:rsidRPr="00ED1591">
        <w:rPr>
          <w:rFonts w:ascii="Arial" w:hAnsi="Arial" w:cs="Arial"/>
        </w:rPr>
        <w:t xml:space="preserve">the </w:t>
      </w:r>
      <w:r w:rsidR="000129CF">
        <w:rPr>
          <w:rFonts w:ascii="Arial" w:hAnsi="Arial" w:cs="Arial"/>
        </w:rPr>
        <w:t xml:space="preserve"> </w:t>
      </w:r>
      <w:r w:rsidR="00F711AC" w:rsidRPr="00ED1591">
        <w:rPr>
          <w:rFonts w:ascii="Arial" w:hAnsi="Arial" w:cs="Arial"/>
        </w:rPr>
        <w:t xml:space="preserve"> youth</w:t>
      </w:r>
      <w:r w:rsidRPr="00ED1591">
        <w:rPr>
          <w:rFonts w:ascii="Arial" w:hAnsi="Arial" w:cs="Arial"/>
        </w:rPr>
        <w:t xml:space="preserve"> </w:t>
      </w:r>
      <w:r w:rsidR="00ED1591" w:rsidRPr="00ED1591">
        <w:rPr>
          <w:rFonts w:ascii="Arial" w:hAnsi="Arial" w:cs="Arial"/>
        </w:rPr>
        <w:t xml:space="preserve">of </w:t>
      </w:r>
      <w:r w:rsidR="000129CF">
        <w:rPr>
          <w:rFonts w:ascii="Arial" w:hAnsi="Arial" w:cs="Arial"/>
        </w:rPr>
        <w:t xml:space="preserve">Bilaspur </w:t>
      </w:r>
      <w:r w:rsidRPr="00ED1591">
        <w:rPr>
          <w:rFonts w:ascii="Arial" w:hAnsi="Arial" w:cs="Arial"/>
        </w:rPr>
        <w:t xml:space="preserve">district for skill development. The </w:t>
      </w:r>
      <w:r w:rsidR="000129CF">
        <w:rPr>
          <w:rFonts w:ascii="Arial" w:hAnsi="Arial" w:cs="Arial"/>
        </w:rPr>
        <w:t>CLC</w:t>
      </w:r>
      <w:r w:rsidR="00F711AC">
        <w:rPr>
          <w:rFonts w:ascii="Arial" w:hAnsi="Arial" w:cs="Arial"/>
        </w:rPr>
        <w:t xml:space="preserve"> </w:t>
      </w:r>
      <w:r w:rsidR="00F711AC" w:rsidRPr="00ED1591">
        <w:rPr>
          <w:rFonts w:ascii="Arial" w:hAnsi="Arial" w:cs="Arial"/>
        </w:rPr>
        <w:t>will</w:t>
      </w:r>
      <w:r w:rsidRPr="00ED1591">
        <w:rPr>
          <w:rFonts w:ascii="Arial" w:hAnsi="Arial" w:cs="Arial"/>
        </w:rPr>
        <w:t xml:space="preserve"> offer training program and courses as per industry needs so that locals get gainful employment after completion of training courses.</w:t>
      </w:r>
      <w:r w:rsidR="0081440B">
        <w:rPr>
          <w:rFonts w:ascii="Arial" w:hAnsi="Arial" w:cs="Arial"/>
        </w:rPr>
        <w:t xml:space="preserve"> </w:t>
      </w:r>
      <w:r w:rsidR="000129CF">
        <w:rPr>
          <w:rFonts w:ascii="Arial" w:hAnsi="Arial" w:cs="Arial"/>
        </w:rPr>
        <w:t xml:space="preserve"> </w:t>
      </w:r>
      <w:r w:rsidR="00BE6017" w:rsidRPr="00CC60BA">
        <w:rPr>
          <w:rFonts w:ascii="Arial" w:hAnsi="Arial" w:cs="Arial"/>
        </w:rPr>
        <w:t>The CLC building will be a four floor building including lower ground, upper ground, first and second floor with a total built up area of 744.31. m</w:t>
      </w:r>
      <w:r w:rsidR="00BE6017" w:rsidRPr="00BE6017">
        <w:rPr>
          <w:rFonts w:ascii="Arial" w:hAnsi="Arial" w:cs="Arial"/>
          <w:vertAlign w:val="superscript"/>
        </w:rPr>
        <w:t>2</w:t>
      </w:r>
      <w:r w:rsidR="00BE6017" w:rsidRPr="00CC60BA">
        <w:rPr>
          <w:rFonts w:ascii="Arial" w:hAnsi="Arial" w:cs="Arial"/>
        </w:rPr>
        <w:t xml:space="preserve">. The lower ground floor will have counseling cum placement room and two practical class rooms. The upper ground floor will have lobby for reception and waiting area, practical class room, computer laboratory and toilet facilities for staff and visitors.  The </w:t>
      </w:r>
      <w:r w:rsidR="00BE6017" w:rsidRPr="00CC60BA">
        <w:rPr>
          <w:rFonts w:ascii="Arial" w:hAnsi="Arial" w:cs="Arial"/>
        </w:rPr>
        <w:lastRenderedPageBreak/>
        <w:t>first floor will have boys</w:t>
      </w:r>
      <w:r w:rsidR="00BE6017">
        <w:rPr>
          <w:rFonts w:ascii="Arial" w:hAnsi="Arial" w:cs="Arial"/>
        </w:rPr>
        <w:t>’</w:t>
      </w:r>
      <w:r w:rsidR="00BE6017" w:rsidRPr="00CC60BA">
        <w:rPr>
          <w:rFonts w:ascii="Arial" w:hAnsi="Arial" w:cs="Arial"/>
        </w:rPr>
        <w:t xml:space="preserve"> hostel for 16 boys, dining area, toilet block and store room.  The second floor will also have a boys’ hostel of 16 capacity, warden room, toilet blocks and dining area. A septic tank will be provided for 50 users. Solar panels will be installed on the roof. They will have the potential to generate a minimum of 3 kVA of power</w:t>
      </w:r>
      <w:r w:rsidR="00BE6017">
        <w:rPr>
          <w:rFonts w:ascii="Arial" w:hAnsi="Arial" w:cs="Arial"/>
        </w:rPr>
        <w:t xml:space="preserve">. </w:t>
      </w:r>
      <w:r w:rsidR="00BE6017" w:rsidRPr="00CC60BA">
        <w:rPr>
          <w:rFonts w:ascii="Arial" w:hAnsi="Arial" w:cs="Arial"/>
        </w:rPr>
        <w:t xml:space="preserve"> The total electricity load has been estimated as 25 kW.  Water consumption has been estimated as 8280 liters per day. Water source will be from the municipal supply. The solid waste generated will be integrated with the waste disposal system at Bilaspur. </w:t>
      </w:r>
      <w:r w:rsidR="00BE6017">
        <w:rPr>
          <w:rFonts w:ascii="Arial" w:hAnsi="Arial" w:cs="Arial"/>
        </w:rPr>
        <w:t xml:space="preserve"> </w:t>
      </w:r>
      <w:r w:rsidR="00BE6017" w:rsidRPr="00CC60BA">
        <w:rPr>
          <w:rFonts w:ascii="Arial" w:hAnsi="Arial" w:cs="Arial"/>
        </w:rPr>
        <w:t xml:space="preserve">In case of need one floor can be converted to girls’ hostel. By locking certain doors, the hostel sections can be sealed off from the learning and administration areas.  </w:t>
      </w:r>
    </w:p>
    <w:p w:rsidR="00F711AC" w:rsidRPr="00BE6017" w:rsidRDefault="00BE6017" w:rsidP="00BE6017">
      <w:pPr>
        <w:ind w:left="467" w:firstLine="0"/>
        <w:rPr>
          <w:rFonts w:ascii="Arial" w:hAnsi="Arial" w:cs="Arial"/>
        </w:rPr>
      </w:pPr>
      <w:r>
        <w:rPr>
          <w:rFonts w:ascii="Arial" w:hAnsi="Arial" w:cs="Arial"/>
        </w:rPr>
        <w:t xml:space="preserve"> </w:t>
      </w:r>
    </w:p>
    <w:p w:rsidR="00ED1591" w:rsidRPr="00F711AC" w:rsidRDefault="00F711AC" w:rsidP="00F711AC">
      <w:pPr>
        <w:pStyle w:val="ListParagraph"/>
        <w:numPr>
          <w:ilvl w:val="0"/>
          <w:numId w:val="33"/>
        </w:numPr>
        <w:spacing w:after="240" w:line="360" w:lineRule="auto"/>
        <w:ind w:left="426" w:hanging="426"/>
        <w:rPr>
          <w:rFonts w:ascii="Arial" w:hAnsi="Arial" w:cs="Arial"/>
        </w:rPr>
      </w:pPr>
      <w:r w:rsidRPr="00F711AC">
        <w:rPr>
          <w:rFonts w:ascii="Arial" w:hAnsi="Arial" w:cs="Arial"/>
        </w:rPr>
        <w:t xml:space="preserve">The </w:t>
      </w:r>
      <w:r w:rsidR="00BE6017">
        <w:rPr>
          <w:rFonts w:ascii="Arial" w:hAnsi="Arial" w:cs="Arial"/>
        </w:rPr>
        <w:t>CLC</w:t>
      </w:r>
      <w:r w:rsidRPr="00F711AC">
        <w:rPr>
          <w:rFonts w:ascii="Arial" w:hAnsi="Arial" w:cs="Arial"/>
        </w:rPr>
        <w:t xml:space="preserve"> building will have adequate number of modern sanitation and drinking water facilities. Concrete gutters at the end of steel sheeting roofs will direct the rain water to underground rain water harvesting tanks. The clean rainwater runoff can be re used for horticultural purposes and for flushing in the toilet. </w:t>
      </w:r>
      <w:r w:rsidR="00ED1591" w:rsidRPr="00F711AC">
        <w:rPr>
          <w:rFonts w:ascii="Arial" w:hAnsi="Arial" w:cs="Arial"/>
        </w:rPr>
        <w:t xml:space="preserve">The building is designed to cater for 24 by 7 occupancy. By locking certain doors, </w:t>
      </w:r>
      <w:r w:rsidRPr="00F711AC">
        <w:rPr>
          <w:rFonts w:ascii="Arial" w:hAnsi="Arial" w:cs="Arial"/>
        </w:rPr>
        <w:t>the dormitory sections</w:t>
      </w:r>
      <w:r w:rsidR="00ED1591" w:rsidRPr="00F711AC">
        <w:rPr>
          <w:rFonts w:ascii="Arial" w:hAnsi="Arial" w:cs="Arial"/>
        </w:rPr>
        <w:t xml:space="preserve"> can be sealed off from the learning and administration areas. </w:t>
      </w:r>
    </w:p>
    <w:p w:rsidR="00C82754" w:rsidRPr="00ED1591" w:rsidRDefault="00C82754" w:rsidP="009252D8">
      <w:pPr>
        <w:pStyle w:val="ListParagraph"/>
        <w:numPr>
          <w:ilvl w:val="0"/>
          <w:numId w:val="33"/>
        </w:numPr>
        <w:spacing w:after="240" w:line="360" w:lineRule="auto"/>
        <w:ind w:left="426" w:hanging="426"/>
        <w:rPr>
          <w:rFonts w:ascii="Arial" w:hAnsi="Arial" w:cs="Arial"/>
        </w:rPr>
      </w:pPr>
      <w:r w:rsidRPr="00ED1591">
        <w:rPr>
          <w:rFonts w:ascii="Arial" w:hAnsi="Arial" w:cs="Arial"/>
        </w:rPr>
        <w:t xml:space="preserve">There is no requirement for acquisition of private land for the construction of </w:t>
      </w:r>
      <w:r w:rsidR="00BE6017">
        <w:rPr>
          <w:rFonts w:ascii="Arial" w:hAnsi="Arial" w:cs="Arial"/>
        </w:rPr>
        <w:t>CLC</w:t>
      </w:r>
      <w:r w:rsidR="00341623" w:rsidRPr="00ED1591">
        <w:rPr>
          <w:rFonts w:ascii="Arial" w:hAnsi="Arial" w:cs="Arial"/>
        </w:rPr>
        <w:t xml:space="preserve"> </w:t>
      </w:r>
      <w:r w:rsidR="009045C5" w:rsidRPr="00ED1591">
        <w:rPr>
          <w:rFonts w:ascii="Arial" w:hAnsi="Arial" w:cs="Arial"/>
        </w:rPr>
        <w:t xml:space="preserve">and </w:t>
      </w:r>
      <w:r w:rsidR="00ED1591">
        <w:rPr>
          <w:rFonts w:ascii="Arial" w:hAnsi="Arial" w:cs="Arial"/>
        </w:rPr>
        <w:t xml:space="preserve"> associated </w:t>
      </w:r>
      <w:r w:rsidR="00341623" w:rsidRPr="00ED1591">
        <w:rPr>
          <w:rFonts w:ascii="Arial" w:hAnsi="Arial" w:cs="Arial"/>
        </w:rPr>
        <w:t>facilities as</w:t>
      </w:r>
      <w:r w:rsidRPr="00ED1591">
        <w:rPr>
          <w:rFonts w:ascii="Arial" w:hAnsi="Arial" w:cs="Arial"/>
        </w:rPr>
        <w:t xml:space="preserve"> the proposed </w:t>
      </w:r>
      <w:r w:rsidR="00DA5970" w:rsidRPr="00ED1591">
        <w:rPr>
          <w:rFonts w:ascii="Arial" w:hAnsi="Arial" w:cs="Arial"/>
        </w:rPr>
        <w:t>site ownership</w:t>
      </w:r>
      <w:r w:rsidRPr="00ED1591">
        <w:rPr>
          <w:rFonts w:ascii="Arial" w:hAnsi="Arial" w:cs="Arial"/>
        </w:rPr>
        <w:t xml:space="preserve"> is with </w:t>
      </w:r>
      <w:r w:rsidR="00ED1591">
        <w:rPr>
          <w:rFonts w:ascii="Arial" w:hAnsi="Arial" w:cs="Arial"/>
        </w:rPr>
        <w:t>DO</w:t>
      </w:r>
      <w:r w:rsidR="00BE6017">
        <w:rPr>
          <w:rFonts w:ascii="Arial" w:hAnsi="Arial" w:cs="Arial"/>
        </w:rPr>
        <w:t>U</w:t>
      </w:r>
      <w:r w:rsidR="00F711AC">
        <w:rPr>
          <w:rFonts w:ascii="Arial" w:hAnsi="Arial" w:cs="Arial"/>
        </w:rPr>
        <w:t>D</w:t>
      </w:r>
      <w:r w:rsidR="00E07617" w:rsidRPr="00ED1591">
        <w:rPr>
          <w:rFonts w:ascii="Arial" w:hAnsi="Arial" w:cs="Arial"/>
        </w:rPr>
        <w:t>.</w:t>
      </w:r>
      <w:r w:rsidRPr="00ED1591">
        <w:rPr>
          <w:rFonts w:ascii="Arial" w:hAnsi="Arial" w:cs="Arial"/>
        </w:rPr>
        <w:t xml:space="preserve"> The HPSDP project as a whole has been </w:t>
      </w:r>
      <w:r w:rsidR="00E07617" w:rsidRPr="00ED1591">
        <w:rPr>
          <w:rFonts w:ascii="Arial" w:hAnsi="Arial" w:cs="Arial"/>
        </w:rPr>
        <w:t>categorized</w:t>
      </w:r>
      <w:r w:rsidRPr="00ED1591">
        <w:rPr>
          <w:rFonts w:ascii="Arial" w:hAnsi="Arial" w:cs="Arial"/>
        </w:rPr>
        <w:t xml:space="preserve"> as 'C' category project</w:t>
      </w:r>
      <w:r w:rsidR="00341623" w:rsidRPr="00ED1591">
        <w:rPr>
          <w:rFonts w:ascii="Arial" w:hAnsi="Arial" w:cs="Arial"/>
        </w:rPr>
        <w:t>, in</w:t>
      </w:r>
      <w:r w:rsidR="009045C5" w:rsidRPr="00ED1591">
        <w:rPr>
          <w:rFonts w:ascii="Arial" w:hAnsi="Arial" w:cs="Arial"/>
        </w:rPr>
        <w:t xml:space="preserve"> respect of Involuntary Resettlement</w:t>
      </w:r>
      <w:r w:rsidR="00341623" w:rsidRPr="00ED1591">
        <w:rPr>
          <w:rFonts w:ascii="Arial" w:hAnsi="Arial" w:cs="Arial"/>
        </w:rPr>
        <w:t>, as</w:t>
      </w:r>
      <w:r w:rsidRPr="00ED1591">
        <w:rPr>
          <w:rFonts w:ascii="Arial" w:hAnsi="Arial" w:cs="Arial"/>
        </w:rPr>
        <w:t xml:space="preserve">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 xml:space="preserve">The construction and operation of proposed </w:t>
      </w:r>
      <w:r w:rsidR="00FD1FC8">
        <w:rPr>
          <w:rFonts w:ascii="Arial" w:hAnsi="Arial" w:cs="Arial"/>
        </w:rPr>
        <w:t>CLC</w:t>
      </w:r>
      <w:r w:rsidR="00C92798">
        <w:rPr>
          <w:rFonts w:ascii="Arial" w:hAnsi="Arial" w:cs="Arial"/>
        </w:rPr>
        <w:t xml:space="preserve"> </w:t>
      </w:r>
      <w:r w:rsidR="00C92798" w:rsidRPr="00E90011">
        <w:rPr>
          <w:rFonts w:ascii="Arial" w:hAnsi="Arial" w:cs="Arial"/>
        </w:rPr>
        <w:t>will</w:t>
      </w:r>
      <w:r w:rsidRPr="00E90011">
        <w:rPr>
          <w:rFonts w:ascii="Arial" w:hAnsi="Arial" w:cs="Arial"/>
        </w:rPr>
        <w:t xml:space="preserve"> not have any impact on Indigenous People (IP)</w:t>
      </w:r>
      <w:r w:rsidR="00E90011" w:rsidRPr="00E90011">
        <w:rPr>
          <w:rFonts w:ascii="Arial" w:hAnsi="Arial" w:cs="Arial"/>
        </w:rPr>
        <w:t xml:space="preserve"> because there is no presence of such people in the </w:t>
      </w:r>
      <w:r w:rsidR="00C92798">
        <w:rPr>
          <w:rFonts w:ascii="Arial" w:hAnsi="Arial" w:cs="Arial"/>
        </w:rPr>
        <w:t>vicinity of subproject site</w:t>
      </w:r>
      <w:r w:rsidR="00E90011" w:rsidRPr="00E90011">
        <w:rPr>
          <w:rFonts w:ascii="Arial" w:hAnsi="Arial" w:cs="Arial"/>
        </w:rPr>
        <w:t xml:space="preserve">. </w:t>
      </w:r>
      <w:r w:rsidR="00C92798">
        <w:rPr>
          <w:rFonts w:ascii="Arial" w:hAnsi="Arial" w:cs="Arial"/>
        </w:rPr>
        <w:t xml:space="preserve"> </w:t>
      </w:r>
      <w:r w:rsidR="00E90011">
        <w:rPr>
          <w:rFonts w:ascii="Arial" w:hAnsi="Arial" w:cs="Arial"/>
        </w:rPr>
        <w:t xml:space="preserve"> The HPSDP project as a whole has been categorised as 'C' category project</w:t>
      </w:r>
      <w:r w:rsidR="009045C5">
        <w:rPr>
          <w:rFonts w:ascii="Arial" w:hAnsi="Arial" w:cs="Arial"/>
        </w:rPr>
        <w:t xml:space="preserve"> with respect to Indigenous People</w:t>
      </w:r>
      <w:r w:rsidR="00E90011">
        <w:rPr>
          <w:rFonts w:ascii="Arial" w:hAnsi="Arial" w:cs="Arial"/>
        </w:rPr>
        <w:t xml:space="preserve">.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(GRM)</w:t>
      </w:r>
      <w:r w:rsidR="002B73D6">
        <w:rPr>
          <w:rFonts w:ascii="Arial" w:hAnsi="Arial" w:cs="Arial"/>
        </w:rPr>
        <w:t xml:space="preserve">' has been established. This GRM will be functional from the start of the construction period and will </w:t>
      </w:r>
      <w:r w:rsidR="00341623">
        <w:rPr>
          <w:rFonts w:ascii="Arial" w:hAnsi="Arial" w:cs="Arial"/>
        </w:rPr>
        <w:t>remain active</w:t>
      </w:r>
      <w:r w:rsidR="002B73D6">
        <w:rPr>
          <w:rFonts w:ascii="Arial" w:hAnsi="Arial" w:cs="Arial"/>
        </w:rPr>
        <w:t xml:space="preserve"> in the entire construction duration of </w:t>
      </w:r>
      <w:r w:rsidR="00E07617">
        <w:rPr>
          <w:rFonts w:ascii="Arial" w:hAnsi="Arial" w:cs="Arial"/>
        </w:rPr>
        <w:t>2</w:t>
      </w:r>
      <w:r w:rsidR="002B73D6">
        <w:rPr>
          <w:rFonts w:ascii="Arial" w:hAnsi="Arial" w:cs="Arial"/>
        </w:rPr>
        <w:t xml:space="preserve"> years.  </w:t>
      </w:r>
    </w:p>
    <w:p w:rsidR="002B73D6" w:rsidRDefault="00C7795B"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lastRenderedPageBreak/>
        <w:t xml:space="preserve">The </w:t>
      </w:r>
      <w:r>
        <w:rPr>
          <w:rFonts w:ascii="Arial" w:hAnsi="Arial" w:cs="Arial"/>
        </w:rPr>
        <w:t>implementation</w:t>
      </w:r>
      <w:r w:rsidR="00C92798">
        <w:rPr>
          <w:rFonts w:ascii="Arial" w:hAnsi="Arial" w:cs="Arial"/>
        </w:rPr>
        <w:t xml:space="preserve"> of </w:t>
      </w:r>
      <w:r w:rsidR="00B35DAD" w:rsidRPr="002B73D6">
        <w:rPr>
          <w:rFonts w:ascii="Arial" w:hAnsi="Arial" w:cs="Arial"/>
        </w:rPr>
        <w:t>proposed sub</w:t>
      </w:r>
      <w:r w:rsidR="002B73D6" w:rsidRPr="002B73D6">
        <w:rPr>
          <w:rFonts w:ascii="Arial" w:hAnsi="Arial" w:cs="Arial"/>
        </w:rPr>
        <w:t xml:space="preserve"> project</w:t>
      </w:r>
      <w:r w:rsidR="00EB5BC0">
        <w:rPr>
          <w:rFonts w:ascii="Arial" w:hAnsi="Arial" w:cs="Arial"/>
        </w:rPr>
        <w:t xml:space="preserve"> of </w:t>
      </w:r>
      <w:r w:rsidR="00FD1FC8">
        <w:rPr>
          <w:rFonts w:ascii="Arial" w:hAnsi="Arial" w:cs="Arial"/>
        </w:rPr>
        <w:t>CLC</w:t>
      </w:r>
      <w:r w:rsidR="00EB5BC0">
        <w:rPr>
          <w:rFonts w:ascii="Arial" w:hAnsi="Arial" w:cs="Arial"/>
        </w:rPr>
        <w:t xml:space="preserve"> </w:t>
      </w:r>
      <w:r w:rsidR="00341623">
        <w:rPr>
          <w:rFonts w:ascii="Arial" w:hAnsi="Arial" w:cs="Arial"/>
        </w:rPr>
        <w:t xml:space="preserve">will </w:t>
      </w:r>
      <w:r w:rsidR="00341623" w:rsidRPr="002B73D6">
        <w:rPr>
          <w:rFonts w:ascii="Arial" w:hAnsi="Arial" w:cs="Arial"/>
        </w:rPr>
        <w:t>not</w:t>
      </w:r>
      <w:r w:rsidR="002B73D6" w:rsidRPr="002B73D6">
        <w:rPr>
          <w:rFonts w:ascii="Arial" w:hAnsi="Arial" w:cs="Arial"/>
        </w:rPr>
        <w:t xml:space="preserve"> have any adverse impact on women and/or girls or will</w:t>
      </w:r>
      <w:r w:rsidR="009E5A67">
        <w:rPr>
          <w:rFonts w:ascii="Arial" w:hAnsi="Arial" w:cs="Arial"/>
        </w:rPr>
        <w:t xml:space="preserve"> not</w:t>
      </w:r>
      <w:r w:rsidR="002B73D6" w:rsidRPr="002B73D6">
        <w:rPr>
          <w:rFonts w:ascii="Arial" w:hAnsi="Arial" w:cs="Arial"/>
        </w:rPr>
        <w:t xml:space="preserve"> widen gender inequality. </w:t>
      </w:r>
      <w:r w:rsidR="00341623" w:rsidRPr="002B73D6">
        <w:rPr>
          <w:rFonts w:ascii="Arial" w:hAnsi="Arial" w:cs="Arial"/>
        </w:rPr>
        <w:t xml:space="preserve">The </w:t>
      </w:r>
      <w:r w:rsidR="00341623">
        <w:rPr>
          <w:rFonts w:ascii="Arial" w:hAnsi="Arial" w:cs="Arial"/>
        </w:rPr>
        <w:t>subproject</w:t>
      </w:r>
      <w:r w:rsidR="002B73D6" w:rsidRPr="002B73D6">
        <w:rPr>
          <w:rFonts w:ascii="Arial" w:hAnsi="Arial" w:cs="Arial"/>
        </w:rPr>
        <w:t xml:space="preserve"> </w:t>
      </w:r>
      <w:r w:rsidR="00341623" w:rsidRPr="002B73D6">
        <w:rPr>
          <w:rFonts w:ascii="Arial" w:hAnsi="Arial" w:cs="Arial"/>
        </w:rPr>
        <w:t xml:space="preserve">will </w:t>
      </w:r>
      <w:r w:rsidR="00341623">
        <w:rPr>
          <w:rFonts w:ascii="Arial" w:hAnsi="Arial" w:cs="Arial"/>
        </w:rPr>
        <w:t>help</w:t>
      </w:r>
      <w:r w:rsidR="00EB5BC0">
        <w:rPr>
          <w:rFonts w:ascii="Arial" w:hAnsi="Arial" w:cs="Arial"/>
        </w:rPr>
        <w:t xml:space="preserve"> in </w:t>
      </w:r>
      <w:r w:rsidR="00341623">
        <w:rPr>
          <w:rFonts w:ascii="Arial" w:hAnsi="Arial" w:cs="Arial"/>
        </w:rPr>
        <w:t>getting technical</w:t>
      </w:r>
      <w:r w:rsidR="009E5A67">
        <w:rPr>
          <w:rFonts w:ascii="Arial" w:hAnsi="Arial" w:cs="Arial"/>
        </w:rPr>
        <w:t xml:space="preserve"> education for female students and will help employability of females </w:t>
      </w:r>
      <w:r>
        <w:rPr>
          <w:rFonts w:ascii="Arial" w:hAnsi="Arial" w:cs="Arial"/>
        </w:rPr>
        <w:t xml:space="preserve">in </w:t>
      </w:r>
      <w:r w:rsidR="00FD1FC8">
        <w:rPr>
          <w:rFonts w:ascii="Arial" w:hAnsi="Arial" w:cs="Arial"/>
        </w:rPr>
        <w:t>Bilaspur</w:t>
      </w:r>
      <w:r w:rsidR="00C92798">
        <w:rPr>
          <w:rFonts w:ascii="Arial" w:hAnsi="Arial" w:cs="Arial"/>
        </w:rPr>
        <w:t xml:space="preserve"> </w:t>
      </w:r>
      <w:r w:rsidR="009E5A67">
        <w:rPr>
          <w:rFonts w:ascii="Arial" w:hAnsi="Arial" w:cs="Arial"/>
        </w:rPr>
        <w:t>district of Himachal Pradesh</w:t>
      </w:r>
      <w:r w:rsidR="00EB5BC0">
        <w:rPr>
          <w:rFonts w:ascii="Arial" w:hAnsi="Arial" w:cs="Arial"/>
        </w:rPr>
        <w:t>.</w:t>
      </w:r>
      <w:r w:rsidR="00FB6562">
        <w:rPr>
          <w:rFonts w:ascii="Arial" w:hAnsi="Arial" w:cs="Arial"/>
        </w:rPr>
        <w:t xml:space="preserve"> </w:t>
      </w:r>
      <w:r w:rsidR="00EB5BC0">
        <w:rPr>
          <w:rFonts w:ascii="Arial" w:hAnsi="Arial" w:cs="Arial"/>
        </w:rPr>
        <w:t xml:space="preserve"> </w:t>
      </w:r>
    </w:p>
    <w:p w:rsidR="00CB7878" w:rsidRPr="00D00A3B" w:rsidRDefault="00BC0981" w:rsidP="00D84318">
      <w:pPr>
        <w:pStyle w:val="Heading1"/>
        <w:numPr>
          <w:ilvl w:val="0"/>
          <w:numId w:val="39"/>
        </w:numPr>
      </w:pPr>
      <w:bookmarkStart w:id="14" w:name="_Toc490318870"/>
      <w:r w:rsidRPr="00D00A3B">
        <w:t>INTRODUCTION:</w:t>
      </w:r>
      <w:bookmarkEnd w:id="10"/>
      <w:bookmarkEnd w:id="14"/>
    </w:p>
    <w:bookmarkEnd w:id="11"/>
    <w:bookmarkEnd w:id="12"/>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FD1FC8">
        <w:rPr>
          <w:rFonts w:ascii="Arial" w:hAnsi="Arial" w:cs="Arial"/>
        </w:rPr>
        <w:t>Technical Education</w:t>
      </w:r>
      <w:r w:rsidR="003779A2">
        <w:rPr>
          <w:rFonts w:ascii="Arial" w:hAnsi="Arial" w:cs="Arial"/>
        </w:rPr>
        <w:t xml:space="preserve"> (D</w:t>
      </w:r>
      <w:r w:rsidR="00FD1FC8">
        <w:rPr>
          <w:rFonts w:ascii="Arial" w:hAnsi="Arial" w:cs="Arial"/>
        </w:rPr>
        <w:t>OTE</w:t>
      </w:r>
      <w:r w:rsidR="003779A2">
        <w:rPr>
          <w:rFonts w:ascii="Arial" w:hAnsi="Arial" w:cs="Arial"/>
        </w:rPr>
        <w:t>)</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(TVET) in the state is scaled up and aligned to national standards, (b) market aligned skills ecosystem is created, (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(HPSDM)</w:t>
      </w:r>
      <w:r w:rsidR="006C46DD">
        <w:rPr>
          <w:rFonts w:ascii="Arial" w:hAnsi="Arial" w:cs="Arial"/>
        </w:rPr>
        <w:t xml:space="preserve">.  </w:t>
      </w:r>
      <w:r w:rsidR="00737503">
        <w:rPr>
          <w:rFonts w:ascii="Arial" w:hAnsi="Arial" w:cs="Arial"/>
        </w:rPr>
        <w:t xml:space="preserve"> </w:t>
      </w:r>
    </w:p>
    <w:p w:rsidR="00BC0981" w:rsidRPr="0012698E" w:rsidRDefault="00DA5970" w:rsidP="005C78A1">
      <w:pPr>
        <w:pStyle w:val="ListParagraph"/>
        <w:numPr>
          <w:ilvl w:val="0"/>
          <w:numId w:val="15"/>
        </w:numPr>
        <w:spacing w:after="240" w:line="360" w:lineRule="auto"/>
        <w:ind w:left="426" w:hanging="426"/>
        <w:contextualSpacing/>
        <w:rPr>
          <w:rFonts w:cs="Arial"/>
        </w:rPr>
      </w:pPr>
      <w:r>
        <w:rPr>
          <w:rFonts w:ascii="Arial" w:hAnsi="Arial" w:cs="Arial"/>
        </w:rPr>
        <w:t xml:space="preserve">The </w:t>
      </w:r>
      <w:r w:rsidR="00FD1FC8">
        <w:rPr>
          <w:rFonts w:ascii="Arial" w:hAnsi="Arial" w:cs="Arial"/>
        </w:rPr>
        <w:t>DOTE</w:t>
      </w:r>
      <w:r w:rsidR="00C86802">
        <w:rPr>
          <w:rFonts w:ascii="Arial" w:hAnsi="Arial" w:cs="Arial"/>
        </w:rPr>
        <w:t>, Government of Himachal Pradesh is the Executive Agency (EA) for the project. The implementing agencies (IAs) for this project are Himachal Pradesh Kaushal Vikas Nigam Ltd. (HPKVN) an autonomous body established by GoHP, Department of Technical Education</w:t>
      </w:r>
      <w:r w:rsidR="009E5A67">
        <w:rPr>
          <w:rFonts w:ascii="Arial" w:hAnsi="Arial" w:cs="Arial"/>
        </w:rPr>
        <w:t>, Vocational and Industrial Training</w:t>
      </w:r>
      <w:r w:rsidR="00C86802">
        <w:rPr>
          <w:rFonts w:ascii="Arial" w:hAnsi="Arial" w:cs="Arial"/>
        </w:rPr>
        <w:t xml:space="preserve"> (DoTE), Department of Urban Development</w:t>
      </w:r>
      <w:r w:rsidR="00491FB4">
        <w:rPr>
          <w:rFonts w:ascii="Arial" w:hAnsi="Arial" w:cs="Arial"/>
        </w:rPr>
        <w:t xml:space="preserve"> </w:t>
      </w:r>
      <w:r w:rsidR="00C86802">
        <w:rPr>
          <w:rFonts w:ascii="Arial" w:hAnsi="Arial" w:cs="Arial"/>
        </w:rPr>
        <w:t>(DoUD)</w:t>
      </w:r>
      <w:r w:rsidR="004D0E22">
        <w:rPr>
          <w:rFonts w:ascii="Arial" w:hAnsi="Arial" w:cs="Arial"/>
        </w:rPr>
        <w:t xml:space="preserve">, </w:t>
      </w:r>
      <w:r w:rsidR="000C32A2">
        <w:rPr>
          <w:rFonts w:ascii="Arial" w:hAnsi="Arial" w:cs="Arial"/>
        </w:rPr>
        <w:t>Public Works Departments (PWD)</w:t>
      </w:r>
      <w:r w:rsidR="00973C7A">
        <w:rPr>
          <w:rFonts w:ascii="Arial" w:hAnsi="Arial" w:cs="Arial"/>
        </w:rPr>
        <w:t xml:space="preserve"> and Depart</w:t>
      </w:r>
      <w:r w:rsidR="001E0B7B">
        <w:rPr>
          <w:rFonts w:ascii="Arial" w:hAnsi="Arial" w:cs="Arial"/>
        </w:rPr>
        <w:t xml:space="preserve">ment of </w:t>
      </w:r>
      <w:r w:rsidR="004D0E22">
        <w:rPr>
          <w:rFonts w:ascii="Arial" w:hAnsi="Arial" w:cs="Arial"/>
        </w:rPr>
        <w:t>Higher Education</w:t>
      </w:r>
      <w:r w:rsidR="001E0B7B">
        <w:rPr>
          <w:rFonts w:ascii="Arial" w:hAnsi="Arial" w:cs="Arial"/>
        </w:rPr>
        <w:t xml:space="preserve"> (Do</w:t>
      </w:r>
      <w:r w:rsidR="004D0E22">
        <w:rPr>
          <w:rFonts w:ascii="Arial" w:hAnsi="Arial" w:cs="Arial"/>
        </w:rPr>
        <w:t>HE</w:t>
      </w:r>
      <w:r w:rsidR="001E0B7B">
        <w:rPr>
          <w:rFonts w:ascii="Arial" w:hAnsi="Arial" w:cs="Arial"/>
        </w:rPr>
        <w:t xml:space="preserve">). </w:t>
      </w:r>
      <w:r w:rsidR="00D2190F" w:rsidRPr="0012698E">
        <w:rPr>
          <w:rFonts w:ascii="Arial" w:hAnsi="Arial" w:cs="Arial"/>
        </w:rPr>
        <w:t xml:space="preserve">The </w:t>
      </w:r>
      <w:r w:rsidR="001C3A50" w:rsidRPr="0012698E">
        <w:rPr>
          <w:rFonts w:ascii="Arial" w:hAnsi="Arial" w:cs="Arial"/>
        </w:rPr>
        <w:t xml:space="preserve">Environmental </w:t>
      </w:r>
      <w:r w:rsidR="001C3A50">
        <w:rPr>
          <w:rFonts w:ascii="Arial" w:hAnsi="Arial" w:cs="Arial"/>
        </w:rPr>
        <w:t>and</w:t>
      </w:r>
      <w:r w:rsidR="001C5866">
        <w:rPr>
          <w:rFonts w:ascii="Arial" w:hAnsi="Arial" w:cs="Arial"/>
        </w:rPr>
        <w:t xml:space="preserve"> </w:t>
      </w:r>
      <w:r w:rsidR="00D2190F" w:rsidRPr="0012698E">
        <w:rPr>
          <w:rFonts w:ascii="Arial" w:hAnsi="Arial" w:cs="Arial"/>
        </w:rPr>
        <w:t>Social Management Frame Work (ESMF) has been prepared for the project to take care of environmental and social impacts of the project</w:t>
      </w:r>
      <w:r w:rsidR="0012698E" w:rsidRPr="0012698E">
        <w:rPr>
          <w:rFonts w:ascii="Arial" w:hAnsi="Arial" w:cs="Arial"/>
        </w:rPr>
        <w:t xml:space="preserve"> and to comply with ADB SPS 2009 and local, national and State regulatory requirements. </w:t>
      </w:r>
      <w:r w:rsidR="001C3A50" w:rsidRPr="0012698E">
        <w:rPr>
          <w:rFonts w:ascii="Arial" w:hAnsi="Arial" w:cs="Arial"/>
        </w:rPr>
        <w:t>The ESMF</w:t>
      </w:r>
      <w:r w:rsidR="00D2190F" w:rsidRPr="0012698E">
        <w:rPr>
          <w:rFonts w:ascii="Arial" w:hAnsi="Arial" w:cs="Arial"/>
        </w:rPr>
        <w:t xml:space="preserve"> will be followed in planning and implementation of this </w:t>
      </w:r>
      <w:r w:rsidR="001E0B7B">
        <w:rPr>
          <w:rFonts w:ascii="Arial" w:hAnsi="Arial" w:cs="Arial"/>
        </w:rPr>
        <w:t>project</w:t>
      </w:r>
      <w:r w:rsidR="00D2190F" w:rsidRPr="0012698E">
        <w:rPr>
          <w:rFonts w:ascii="Arial" w:hAnsi="Arial" w:cs="Arial"/>
        </w:rPr>
        <w:t xml:space="preserve">. </w:t>
      </w:r>
      <w:r w:rsidR="00DB08BB">
        <w:rPr>
          <w:rFonts w:ascii="Arial" w:hAnsi="Arial" w:cs="Arial"/>
        </w:rPr>
        <w:t xml:space="preserve"> As part of </w:t>
      </w:r>
      <w:r w:rsidR="001C3A50">
        <w:rPr>
          <w:rFonts w:ascii="Arial" w:hAnsi="Arial" w:cs="Arial"/>
        </w:rPr>
        <w:t>project there</w:t>
      </w:r>
      <w:r w:rsidR="00AC5636">
        <w:rPr>
          <w:rFonts w:ascii="Arial" w:hAnsi="Arial" w:cs="Arial"/>
        </w:rPr>
        <w:t xml:space="preserve"> is proposal to </w:t>
      </w:r>
      <w:r w:rsidR="00FF57F5">
        <w:rPr>
          <w:rFonts w:ascii="Arial" w:hAnsi="Arial" w:cs="Arial"/>
        </w:rPr>
        <w:t xml:space="preserve">upgrade 11 existing Employment Exchanges </w:t>
      </w:r>
      <w:r w:rsidR="001C3A50">
        <w:rPr>
          <w:rFonts w:ascii="Arial" w:hAnsi="Arial" w:cs="Arial"/>
        </w:rPr>
        <w:t>into Model</w:t>
      </w:r>
      <w:r w:rsidR="00AC5636">
        <w:rPr>
          <w:rFonts w:ascii="Arial" w:hAnsi="Arial" w:cs="Arial"/>
        </w:rPr>
        <w:t xml:space="preserve"> Career Centers (MCCs)</w:t>
      </w:r>
      <w:r w:rsidR="00FF57F5">
        <w:rPr>
          <w:rFonts w:ascii="Arial" w:hAnsi="Arial" w:cs="Arial"/>
        </w:rPr>
        <w:t xml:space="preserve"> and to construct </w:t>
      </w:r>
      <w:r w:rsidR="00D706FD">
        <w:rPr>
          <w:rFonts w:ascii="Arial" w:hAnsi="Arial" w:cs="Arial"/>
        </w:rPr>
        <w:t xml:space="preserve"> few new MCCs</w:t>
      </w:r>
      <w:r w:rsidR="00AC5636">
        <w:rPr>
          <w:rFonts w:ascii="Arial" w:hAnsi="Arial" w:cs="Arial"/>
        </w:rPr>
        <w:t xml:space="preserve">, </w:t>
      </w:r>
      <w:r w:rsidR="00FF57F5">
        <w:rPr>
          <w:rFonts w:ascii="Arial" w:hAnsi="Arial" w:cs="Arial"/>
        </w:rPr>
        <w:t xml:space="preserve">7 </w:t>
      </w:r>
      <w:r w:rsidR="00491FB4">
        <w:rPr>
          <w:rFonts w:ascii="Arial" w:hAnsi="Arial" w:cs="Arial"/>
        </w:rPr>
        <w:t>Rural Livelihood</w:t>
      </w:r>
      <w:r w:rsidR="00AC5636">
        <w:rPr>
          <w:rFonts w:ascii="Arial" w:hAnsi="Arial" w:cs="Arial"/>
        </w:rPr>
        <w:t xml:space="preserve"> Centers (</w:t>
      </w:r>
      <w:r w:rsidR="00491FB4">
        <w:rPr>
          <w:rFonts w:ascii="Arial" w:hAnsi="Arial" w:cs="Arial"/>
        </w:rPr>
        <w:t>RL</w:t>
      </w:r>
      <w:r w:rsidR="00AC5636">
        <w:rPr>
          <w:rFonts w:ascii="Arial" w:hAnsi="Arial" w:cs="Arial"/>
        </w:rPr>
        <w:t xml:space="preserve">Cs), </w:t>
      </w:r>
      <w:r w:rsidR="00FF57F5">
        <w:rPr>
          <w:rFonts w:ascii="Arial" w:hAnsi="Arial" w:cs="Arial"/>
        </w:rPr>
        <w:t>6</w:t>
      </w:r>
      <w:r w:rsidR="00AC5636">
        <w:rPr>
          <w:rFonts w:ascii="Arial" w:hAnsi="Arial" w:cs="Arial"/>
        </w:rPr>
        <w:t xml:space="preserve"> City Livelihood Centers (CLCs) and one </w:t>
      </w:r>
      <w:r w:rsidR="001C3A50">
        <w:rPr>
          <w:rFonts w:ascii="Arial" w:hAnsi="Arial" w:cs="Arial"/>
        </w:rPr>
        <w:t>Women’s Polytechnic at</w:t>
      </w:r>
      <w:r w:rsidR="00AC5636">
        <w:rPr>
          <w:rFonts w:ascii="Arial" w:hAnsi="Arial" w:cs="Arial"/>
        </w:rPr>
        <w:t xml:space="preserve"> Rehan in Kangra district. In addition to these infrastructure facilities for skill development</w:t>
      </w:r>
      <w:r w:rsidR="004D0E22">
        <w:rPr>
          <w:rFonts w:ascii="Arial" w:hAnsi="Arial" w:cs="Arial"/>
        </w:rPr>
        <w:t>, 50</w:t>
      </w:r>
      <w:r w:rsidR="00AC5636">
        <w:rPr>
          <w:rFonts w:ascii="Arial" w:hAnsi="Arial" w:cs="Arial"/>
        </w:rPr>
        <w:t xml:space="preserve"> ITIs will be upgraded through installation of </w:t>
      </w:r>
      <w:r w:rsidR="004D0E22">
        <w:rPr>
          <w:rFonts w:ascii="Arial" w:hAnsi="Arial" w:cs="Arial"/>
        </w:rPr>
        <w:t>equipment to</w:t>
      </w:r>
      <w:r w:rsidR="00794E11">
        <w:rPr>
          <w:rFonts w:ascii="Arial" w:hAnsi="Arial" w:cs="Arial"/>
        </w:rPr>
        <w:t xml:space="preserve"> make these NSQF aligned.</w:t>
      </w:r>
      <w:r w:rsidR="00FF57F5">
        <w:rPr>
          <w:rFonts w:ascii="Arial" w:hAnsi="Arial" w:cs="Arial"/>
        </w:rPr>
        <w:t xml:space="preserve"> As part of this HPSDP project there will also be construction of training hall and laboratories in 10 undergraduate colleges and 10 polytechnics where vocational courses will be introduced. </w:t>
      </w:r>
      <w:r w:rsidR="00794E11">
        <w:rPr>
          <w:rFonts w:ascii="Arial" w:hAnsi="Arial" w:cs="Arial"/>
        </w:rPr>
        <w:t xml:space="preserve"> </w:t>
      </w:r>
      <w:r w:rsidR="00AC5636">
        <w:rPr>
          <w:rFonts w:ascii="Arial" w:hAnsi="Arial" w:cs="Arial"/>
        </w:rPr>
        <w:t xml:space="preserve">     </w:t>
      </w:r>
      <w:r w:rsidR="001E0B7B">
        <w:rPr>
          <w:rFonts w:ascii="Arial" w:hAnsi="Arial" w:cs="Arial"/>
        </w:rPr>
        <w:t xml:space="preserve"> </w:t>
      </w:r>
    </w:p>
    <w:p w:rsidR="00FD1FC8"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 xml:space="preserve">proposed </w:t>
      </w:r>
      <w:r w:rsidR="00FD1FC8">
        <w:rPr>
          <w:rFonts w:cs="Arial"/>
          <w:spacing w:val="-3"/>
          <w:w w:val="105"/>
          <w:sz w:val="22"/>
          <w:szCs w:val="22"/>
        </w:rPr>
        <w:t>CLC at Bilaspur town</w:t>
      </w:r>
      <w:r w:rsidR="00E07617">
        <w:rPr>
          <w:rFonts w:cs="Arial"/>
          <w:spacing w:val="-3"/>
          <w:w w:val="105"/>
          <w:sz w:val="22"/>
          <w:szCs w:val="22"/>
        </w:rPr>
        <w:t>.</w:t>
      </w:r>
      <w:r w:rsidR="00D706FD">
        <w:rPr>
          <w:rFonts w:cs="Arial"/>
          <w:spacing w:val="-3"/>
          <w:w w:val="105"/>
          <w:sz w:val="22"/>
          <w:szCs w:val="22"/>
        </w:rPr>
        <w:t xml:space="preserve"> </w:t>
      </w:r>
      <w:r w:rsidR="000C32A2" w:rsidRPr="00242170">
        <w:rPr>
          <w:rFonts w:cs="Arial"/>
          <w:spacing w:val="-3"/>
          <w:w w:val="105"/>
          <w:sz w:val="22"/>
          <w:szCs w:val="22"/>
        </w:rPr>
        <w:t xml:space="preserve">The implementing agencies for this sub project are </w:t>
      </w:r>
      <w:r w:rsidR="00D706FD" w:rsidRPr="00242170">
        <w:rPr>
          <w:rFonts w:cs="Arial"/>
          <w:spacing w:val="-3"/>
          <w:w w:val="105"/>
          <w:sz w:val="22"/>
          <w:szCs w:val="22"/>
        </w:rPr>
        <w:t>PWD</w:t>
      </w:r>
      <w:r w:rsidR="00D706FD">
        <w:rPr>
          <w:rFonts w:cs="Arial"/>
          <w:spacing w:val="-3"/>
          <w:w w:val="105"/>
          <w:sz w:val="22"/>
          <w:szCs w:val="22"/>
        </w:rPr>
        <w:t xml:space="preserve"> </w:t>
      </w:r>
      <w:r w:rsidR="00FD1FC8">
        <w:rPr>
          <w:rFonts w:cs="Arial"/>
          <w:spacing w:val="-3"/>
          <w:w w:val="105"/>
          <w:sz w:val="22"/>
          <w:szCs w:val="22"/>
        </w:rPr>
        <w:t xml:space="preserve">, DOUD </w:t>
      </w:r>
      <w:r w:rsidR="00D706FD">
        <w:rPr>
          <w:rFonts w:cs="Arial"/>
          <w:spacing w:val="-3"/>
          <w:w w:val="105"/>
          <w:sz w:val="22"/>
          <w:szCs w:val="22"/>
        </w:rPr>
        <w:t>and</w:t>
      </w:r>
      <w:r w:rsidR="000C32A2" w:rsidRPr="00242170">
        <w:rPr>
          <w:rFonts w:cs="Arial"/>
          <w:spacing w:val="-3"/>
          <w:w w:val="105"/>
          <w:sz w:val="22"/>
          <w:szCs w:val="22"/>
        </w:rPr>
        <w:t xml:space="preserve"> HPKVN.</w:t>
      </w:r>
      <w:r w:rsidR="00FD1FC8">
        <w:rPr>
          <w:rFonts w:cs="Arial"/>
          <w:spacing w:val="-3"/>
          <w:w w:val="105"/>
          <w:sz w:val="22"/>
          <w:szCs w:val="22"/>
        </w:rPr>
        <w:t xml:space="preserve">  </w:t>
      </w:r>
    </w:p>
    <w:p w:rsidR="009640D9" w:rsidRPr="00242170" w:rsidRDefault="00FD1FC8" w:rsidP="00FD1FC8">
      <w:pPr>
        <w:pStyle w:val="BodyText"/>
        <w:ind w:left="142" w:firstLine="0"/>
        <w:rPr>
          <w:rFonts w:cs="Arial"/>
          <w:spacing w:val="-3"/>
          <w:w w:val="105"/>
          <w:sz w:val="22"/>
          <w:szCs w:val="22"/>
        </w:rPr>
      </w:pPr>
      <w:r>
        <w:rPr>
          <w:rFonts w:cs="Arial"/>
          <w:spacing w:val="-3"/>
          <w:w w:val="105"/>
          <w:sz w:val="22"/>
          <w:szCs w:val="22"/>
        </w:rPr>
        <w:t xml:space="preserve"> </w:t>
      </w:r>
      <w:r w:rsidR="00D706FD">
        <w:rPr>
          <w:rFonts w:cs="Arial"/>
          <w:spacing w:val="-3"/>
          <w:w w:val="105"/>
          <w:sz w:val="22"/>
          <w:szCs w:val="22"/>
        </w:rPr>
        <w:t xml:space="preserve">  </w:t>
      </w:r>
      <w:r w:rsidR="001C3A50">
        <w:rPr>
          <w:rFonts w:cs="Arial"/>
          <w:spacing w:val="-3"/>
          <w:w w:val="105"/>
          <w:sz w:val="22"/>
          <w:szCs w:val="22"/>
        </w:rPr>
        <w:t xml:space="preserve"> </w:t>
      </w:r>
      <w:r w:rsidR="004D0E22">
        <w:rPr>
          <w:rFonts w:cs="Arial"/>
          <w:spacing w:val="-3"/>
          <w:w w:val="105"/>
          <w:sz w:val="22"/>
          <w:szCs w:val="22"/>
        </w:rPr>
        <w:t xml:space="preserve"> </w:t>
      </w:r>
    </w:p>
    <w:p w:rsidR="00CB7878" w:rsidRPr="009749AA" w:rsidRDefault="009749AA" w:rsidP="00D84318">
      <w:pPr>
        <w:pStyle w:val="Heading1"/>
        <w:numPr>
          <w:ilvl w:val="0"/>
          <w:numId w:val="39"/>
        </w:numPr>
      </w:pPr>
      <w:bookmarkStart w:id="15" w:name="_Toc490318871"/>
      <w:r>
        <w:lastRenderedPageBreak/>
        <w:t>JUSTIFICATION FOR THE PROJECT</w:t>
      </w:r>
      <w:bookmarkEnd w:id="15"/>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2000 owing to the concerted effort of 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(TVET) opportunities to its youth to prepare them for the fast-changing needs of the job market. The proposed project will assist GOHP in increasing the employability of its youth and improving their employment prospects by modernizing and reforming the state’s TVET programs, aligning it to the needs of the market through public private partnerships (PPP), and improving overall quality and outcome of TVET programs.</w:t>
      </w:r>
      <w:r w:rsidRPr="00B85D9E">
        <w:rPr>
          <w:rFonts w:cs="Arial"/>
          <w:spacing w:val="-3"/>
          <w:w w:val="105"/>
          <w:sz w:val="28"/>
          <w:szCs w:val="28"/>
          <w:vertAlign w:val="superscript"/>
        </w:rPr>
        <w:footnoteReference w:id="2"/>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3"/>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4"/>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lastRenderedPageBreak/>
        <w:t xml:space="preserve"> </w:t>
      </w:r>
      <w:r w:rsidR="00CA2801" w:rsidRPr="00CA2801">
        <w:rPr>
          <w:rFonts w:cs="Arial"/>
          <w:spacing w:val="-3"/>
          <w:w w:val="105"/>
          <w:sz w:val="22"/>
          <w:szCs w:val="22"/>
        </w:rPr>
        <w:t>The GOHP is keen to take advantage of this demographic window by boosting the technical and vocational skills level of its youth. However, despite the increase in secondary school enrolment and improvement in literacy levels, HP is constrained by the low employability of its school and college graduates. The challenge of “educated unemployment” is growing.</w:t>
      </w:r>
      <w:r w:rsidR="00CA2801" w:rsidRPr="00B85D9E">
        <w:rPr>
          <w:rFonts w:cs="Arial"/>
          <w:spacing w:val="-3"/>
          <w:w w:val="105"/>
          <w:sz w:val="28"/>
          <w:szCs w:val="28"/>
          <w:vertAlign w:val="superscript"/>
        </w:rPr>
        <w:footnoteReference w:id="6"/>
      </w:r>
      <w:r w:rsidR="00CA2801" w:rsidRPr="00CA2801">
        <w:rPr>
          <w:rFonts w:cs="Arial"/>
          <w:spacing w:val="-3"/>
          <w:w w:val="105"/>
          <w:sz w:val="22"/>
          <w:szCs w:val="22"/>
        </w:rPr>
        <w:t xml:space="preserve"> Like in the other states of India, general education at the secondary and college levels is not adequately aligned to the needs of the market. TVET programs in HP are fragmented across 12</w:t>
      </w:r>
      <w:r>
        <w:rPr>
          <w:rFonts w:cs="Arial"/>
          <w:spacing w:val="-3"/>
          <w:w w:val="105"/>
          <w:sz w:val="22"/>
          <w:szCs w:val="22"/>
        </w:rPr>
        <w:t xml:space="preserve"> </w:t>
      </w:r>
      <w:r w:rsidR="00CA2801" w:rsidRPr="00CA2801">
        <w:rPr>
          <w:rFonts w:cs="Arial"/>
          <w:spacing w:val="-3"/>
          <w:w w:val="105"/>
          <w:sz w:val="22"/>
          <w:szCs w:val="22"/>
        </w:rPr>
        <w:t>government departments. There are no uniform benchmarks for quality assurance, outcomes, certification, or costs. Owing to outdated curricula and delivery methods, weak industry-linkage, and poor placement record, TVET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7"/>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8"/>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9"/>
      </w:r>
      <w:r w:rsidR="00CA2801" w:rsidRPr="00CA2801">
        <w:rPr>
          <w:rFonts w:cs="Arial"/>
          <w:spacing w:val="-3"/>
          <w:w w:val="105"/>
          <w:sz w:val="22"/>
          <w:szCs w:val="22"/>
        </w:rPr>
        <w:t xml:space="preserve"> HP’s TVET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In February 2015, GOHP established a skill development corporation − the HP Kaushal Vikas Nigam (HPKVN) − as an autonomous body under the Department of Planning to take the lead in delivering the mandate of the HP Skill Development Mission (HPSDM) by bringing about convergence across the TVET programs being run by different departments, and aligning all training with the competency levels specified in India’s National Skills Qualification Framework (NSQF) and other national quality assurance and certification </w:t>
      </w:r>
      <w:r w:rsidRPr="00CA2801">
        <w:rPr>
          <w:rFonts w:cs="Arial"/>
          <w:spacing w:val="-3"/>
          <w:w w:val="105"/>
          <w:sz w:val="22"/>
          <w:szCs w:val="22"/>
        </w:rPr>
        <w:lastRenderedPageBreak/>
        <w:t>norms.</w:t>
      </w:r>
      <w:r w:rsidRPr="00B85D9E">
        <w:rPr>
          <w:rFonts w:cs="Arial"/>
          <w:spacing w:val="-3"/>
          <w:w w:val="105"/>
          <w:sz w:val="28"/>
          <w:szCs w:val="28"/>
          <w:vertAlign w:val="superscript"/>
        </w:rPr>
        <w:footnoteReference w:id="10"/>
      </w:r>
      <w:r w:rsidRPr="00CA2801">
        <w:rPr>
          <w:rFonts w:cs="Arial"/>
          <w:spacing w:val="-3"/>
          <w:w w:val="105"/>
          <w:sz w:val="22"/>
          <w:szCs w:val="22"/>
        </w:rPr>
        <w:t xml:space="preserve"> There will be industry representation in HPKVN’s Board to strengthen market links and catalyze PPPs in training and assessment. HP is one of the first few states including 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TVET career path can be opened up for students pursuing general education. This project will modernize and reform HP’s TVET institutional framework, scale up the state’s annual TVET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6" w:name="_Toc389050325"/>
      <w:bookmarkStart w:id="17" w:name="_Toc490318872"/>
      <w:r w:rsidRPr="00D00A3B">
        <w:t>S</w:t>
      </w:r>
      <w:r w:rsidR="00564B0B" w:rsidRPr="00D00A3B">
        <w:t>COPE OF THIS DUE-DILIGENCE REPORT:</w:t>
      </w:r>
      <w:bookmarkEnd w:id="16"/>
      <w:bookmarkEnd w:id="17"/>
    </w:p>
    <w:p w:rsidR="008B6EA9" w:rsidRPr="008B6EA9" w:rsidRDefault="00A934DB" w:rsidP="00B04A07">
      <w:pPr>
        <w:pStyle w:val="BodyText"/>
        <w:numPr>
          <w:ilvl w:val="0"/>
          <w:numId w:val="15"/>
        </w:numPr>
        <w:rPr>
          <w:rFonts w:cs="Arial"/>
          <w:sz w:val="22"/>
          <w:szCs w:val="22"/>
        </w:rPr>
      </w:pPr>
      <w:r>
        <w:rPr>
          <w:rFonts w:cs="Arial"/>
          <w:spacing w:val="-3"/>
          <w:w w:val="105"/>
          <w:sz w:val="22"/>
          <w:szCs w:val="22"/>
        </w:rPr>
        <w:t xml:space="preserve"> This social due diligence report examines Involuntary Resettlement and Land </w:t>
      </w:r>
      <w:r w:rsidR="008B6EA9">
        <w:rPr>
          <w:rFonts w:cs="Arial"/>
          <w:spacing w:val="-3"/>
          <w:w w:val="105"/>
          <w:sz w:val="22"/>
          <w:szCs w:val="22"/>
        </w:rPr>
        <w:t>Acquisition issues</w:t>
      </w:r>
      <w:r>
        <w:rPr>
          <w:rFonts w:cs="Arial"/>
          <w:spacing w:val="-3"/>
          <w:w w:val="105"/>
          <w:sz w:val="22"/>
          <w:szCs w:val="22"/>
        </w:rPr>
        <w:t xml:space="preserve"> </w:t>
      </w:r>
      <w:r w:rsidR="008B6EA9">
        <w:rPr>
          <w:rFonts w:cs="Arial"/>
          <w:spacing w:val="-3"/>
          <w:w w:val="105"/>
          <w:sz w:val="22"/>
          <w:szCs w:val="22"/>
        </w:rPr>
        <w:t>in the</w:t>
      </w:r>
      <w:r w:rsidR="00592286">
        <w:rPr>
          <w:rFonts w:cs="Arial"/>
          <w:spacing w:val="-3"/>
          <w:w w:val="105"/>
          <w:sz w:val="22"/>
          <w:szCs w:val="22"/>
        </w:rPr>
        <w:t xml:space="preserve"> proposed </w:t>
      </w:r>
      <w:r w:rsidR="00BE6C7E">
        <w:rPr>
          <w:rFonts w:cs="Arial"/>
          <w:spacing w:val="-3"/>
          <w:w w:val="105"/>
          <w:sz w:val="22"/>
          <w:szCs w:val="22"/>
        </w:rPr>
        <w:t>CLC at Bilaspur</w:t>
      </w:r>
      <w:r>
        <w:rPr>
          <w:rFonts w:cs="Arial"/>
          <w:spacing w:val="-3"/>
          <w:w w:val="105"/>
          <w:sz w:val="22"/>
          <w:szCs w:val="22"/>
        </w:rPr>
        <w:t xml:space="preserve">, impacts on Indigenous People, Gender Issues, Project Outputs and Stakeholder Consultations. </w:t>
      </w:r>
      <w:r>
        <w:rPr>
          <w:rFonts w:cs="Arial"/>
          <w:bCs/>
          <w:color w:val="000000"/>
          <w:sz w:val="22"/>
          <w:szCs w:val="22"/>
        </w:rPr>
        <w:t xml:space="preserve">The </w:t>
      </w:r>
      <w:r w:rsidR="00592286">
        <w:rPr>
          <w:rFonts w:cs="Arial"/>
          <w:bCs/>
          <w:color w:val="000000"/>
          <w:sz w:val="22"/>
          <w:szCs w:val="22"/>
        </w:rPr>
        <w:t>HPSDP</w:t>
      </w:r>
      <w:r>
        <w:rPr>
          <w:rFonts w:cs="Arial"/>
          <w:bCs/>
          <w:color w:val="000000"/>
          <w:sz w:val="22"/>
          <w:szCs w:val="22"/>
        </w:rPr>
        <w:t xml:space="preserve"> project</w:t>
      </w:r>
      <w:r w:rsidR="00BC0981" w:rsidRPr="00D00A3B">
        <w:rPr>
          <w:rFonts w:cs="Arial"/>
          <w:bCs/>
          <w:color w:val="000000"/>
          <w:sz w:val="22"/>
          <w:szCs w:val="22"/>
        </w:rPr>
        <w:t xml:space="preserve"> has been categorized as “C” for Involuntary </w:t>
      </w:r>
      <w:r w:rsidR="00870E84" w:rsidRPr="00D00A3B">
        <w:rPr>
          <w:rFonts w:cs="Arial"/>
          <w:bCs/>
          <w:color w:val="000000"/>
          <w:sz w:val="22"/>
          <w:szCs w:val="22"/>
        </w:rPr>
        <w:t>Resettlement</w:t>
      </w:r>
      <w:r w:rsidR="00E6245E" w:rsidRPr="00D00A3B">
        <w:rPr>
          <w:rFonts w:cs="Arial"/>
          <w:bCs/>
          <w:color w:val="000000"/>
          <w:sz w:val="22"/>
          <w:szCs w:val="22"/>
        </w:rPr>
        <w:t xml:space="preserve"> and Indigenous People</w:t>
      </w:r>
      <w:r w:rsidR="00870E84" w:rsidRPr="00D00A3B">
        <w:rPr>
          <w:rFonts w:cs="Arial"/>
          <w:bCs/>
          <w:color w:val="000000"/>
          <w:sz w:val="22"/>
          <w:szCs w:val="22"/>
        </w:rPr>
        <w:t>.</w:t>
      </w:r>
      <w:r w:rsidR="008C34F7">
        <w:rPr>
          <w:rFonts w:cs="Arial"/>
          <w:bCs/>
          <w:color w:val="000000"/>
          <w:sz w:val="22"/>
          <w:szCs w:val="22"/>
        </w:rPr>
        <w:t xml:space="preserve"> </w:t>
      </w:r>
    </w:p>
    <w:p w:rsidR="008D6962" w:rsidRPr="008B6EA9" w:rsidRDefault="008C34F7" w:rsidP="008B6EA9">
      <w:pPr>
        <w:pStyle w:val="BodyText"/>
        <w:ind w:hanging="157"/>
        <w:rPr>
          <w:rFonts w:cs="Arial"/>
          <w:sz w:val="22"/>
          <w:szCs w:val="22"/>
        </w:rPr>
      </w:pPr>
      <w:r>
        <w:rPr>
          <w:rFonts w:cs="Arial"/>
          <w:bCs/>
          <w:color w:val="000000"/>
          <w:sz w:val="22"/>
          <w:szCs w:val="22"/>
        </w:rPr>
        <w:t xml:space="preserve"> </w:t>
      </w:r>
    </w:p>
    <w:p w:rsidR="00CB7878" w:rsidRPr="00D00A3B" w:rsidRDefault="00E82888" w:rsidP="00D84318">
      <w:pPr>
        <w:pStyle w:val="Heading1"/>
        <w:numPr>
          <w:ilvl w:val="0"/>
          <w:numId w:val="39"/>
        </w:numPr>
      </w:pPr>
      <w:bookmarkStart w:id="18" w:name="_Toc490318873"/>
      <w:r>
        <w:t>OBJECTIVES</w:t>
      </w:r>
      <w:r w:rsidR="00A934DB" w:rsidRPr="00D00A3B">
        <w:t xml:space="preserve"> OF THIS DUE-DILIGENCE REPORT:</w:t>
      </w:r>
      <w:bookmarkEnd w:id="18"/>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w:t>
      </w:r>
      <w:r w:rsidR="00E37214">
        <w:rPr>
          <w:rFonts w:cs="Arial"/>
          <w:sz w:val="22"/>
          <w:szCs w:val="22"/>
        </w:rPr>
        <w:t>all ADB</w:t>
      </w:r>
      <w:r>
        <w:rPr>
          <w:rFonts w:cs="Arial"/>
          <w:sz w:val="22"/>
          <w:szCs w:val="22"/>
        </w:rPr>
        <w:t xml:space="preserve">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w:t>
      </w:r>
      <w:r w:rsidR="00E37214">
        <w:rPr>
          <w:rFonts w:cs="Arial"/>
          <w:sz w:val="22"/>
          <w:szCs w:val="22"/>
        </w:rPr>
        <w:t>GOHP r</w:t>
      </w:r>
      <w:r w:rsidR="008B6EA9">
        <w:rPr>
          <w:rFonts w:cs="Arial"/>
          <w:sz w:val="22"/>
          <w:szCs w:val="22"/>
        </w:rPr>
        <w:t>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 xml:space="preserve">for </w:t>
      </w:r>
      <w:r w:rsidR="00D75229">
        <w:rPr>
          <w:rFonts w:cs="Arial"/>
          <w:sz w:val="22"/>
          <w:szCs w:val="22"/>
        </w:rPr>
        <w:t>the subproject</w:t>
      </w:r>
      <w:r w:rsidR="00EB51C7">
        <w:rPr>
          <w:rFonts w:cs="Arial"/>
          <w:sz w:val="22"/>
          <w:szCs w:val="22"/>
        </w:rPr>
        <w:t xml:space="preserve"> life cycle</w:t>
      </w:r>
      <w:r>
        <w:rPr>
          <w:rFonts w:cs="Arial"/>
          <w:sz w:val="22"/>
          <w:szCs w:val="22"/>
        </w:rPr>
        <w:t xml:space="preserve">.    </w:t>
      </w:r>
    </w:p>
    <w:p w:rsidR="008B6EA9" w:rsidRPr="00A934DB" w:rsidRDefault="008B6EA9" w:rsidP="008B6EA9">
      <w:pPr>
        <w:pStyle w:val="BodyText"/>
        <w:ind w:hanging="157"/>
        <w:rPr>
          <w:rFonts w:cs="Arial"/>
          <w:sz w:val="22"/>
          <w:szCs w:val="22"/>
        </w:rPr>
      </w:pPr>
    </w:p>
    <w:p w:rsidR="00CB7878" w:rsidRPr="00D00A3B" w:rsidRDefault="00BC0981" w:rsidP="00D84318">
      <w:pPr>
        <w:pStyle w:val="Heading1"/>
        <w:numPr>
          <w:ilvl w:val="0"/>
          <w:numId w:val="39"/>
        </w:numPr>
      </w:pPr>
      <w:bookmarkStart w:id="19" w:name="_Toc389050327"/>
      <w:bookmarkStart w:id="20" w:name="_Toc490318874"/>
      <w:r w:rsidRPr="00D00A3B">
        <w:t>P</w:t>
      </w:r>
      <w:r w:rsidR="00564B0B" w:rsidRPr="00D00A3B">
        <w:t>ROJECT IMPACT</w:t>
      </w:r>
      <w:r w:rsidR="008C34F7">
        <w:t>S</w:t>
      </w:r>
      <w:r w:rsidR="00564B0B" w:rsidRPr="00D00A3B">
        <w:t xml:space="preserve"> AND </w:t>
      </w:r>
      <w:r w:rsidR="00E550D4">
        <w:t>OUTPUTS</w:t>
      </w:r>
      <w:bookmarkEnd w:id="19"/>
      <w:bookmarkEnd w:id="20"/>
    </w:p>
    <w:p w:rsidR="00755529" w:rsidRPr="005C78A1" w:rsidRDefault="00755529" w:rsidP="005C78A1">
      <w:pPr>
        <w:pStyle w:val="BodyText"/>
        <w:numPr>
          <w:ilvl w:val="0"/>
          <w:numId w:val="15"/>
        </w:numPr>
        <w:ind w:left="426" w:hanging="426"/>
        <w:rPr>
          <w:rFonts w:cs="Arial"/>
          <w:sz w:val="22"/>
          <w:szCs w:val="22"/>
        </w:rPr>
      </w:pPr>
      <w:bookmarkStart w:id="21" w:name="_Toc389050328"/>
      <w:r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Pr="005C78A1">
        <w:rPr>
          <w:rFonts w:cs="Arial"/>
          <w:sz w:val="22"/>
          <w:szCs w:val="22"/>
        </w:rPr>
        <w:t>impact</w:t>
      </w:r>
      <w:r w:rsidR="00EB51C7" w:rsidRPr="005C78A1">
        <w:rPr>
          <w:rFonts w:cs="Arial"/>
          <w:sz w:val="22"/>
          <w:szCs w:val="22"/>
        </w:rPr>
        <w:t>s</w:t>
      </w:r>
      <w:r w:rsidRPr="005C78A1">
        <w:rPr>
          <w:rFonts w:cs="Arial"/>
          <w:sz w:val="22"/>
          <w:szCs w:val="22"/>
        </w:rPr>
        <w:t xml:space="preserve"> </w:t>
      </w:r>
      <w:r w:rsidR="00EB51C7" w:rsidRPr="005C78A1">
        <w:rPr>
          <w:rFonts w:cs="Arial"/>
          <w:sz w:val="22"/>
          <w:szCs w:val="22"/>
        </w:rPr>
        <w:t>include</w:t>
      </w:r>
      <w:r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lastRenderedPageBreak/>
        <w:t>Output 1:</w:t>
      </w:r>
      <w:r w:rsidRPr="005C78A1">
        <w:rPr>
          <w:rFonts w:cs="Arial"/>
          <w:snapToGrid w:val="0"/>
          <w:sz w:val="22"/>
          <w:szCs w:val="22"/>
        </w:rPr>
        <w:t xml:space="preserve"> TVET in HP scaled up and aligned to national standards. The project will support HPKVN in designing and running an NSQF-aligned TVET training program to reach out to 65,000 needy youth over the project period (2017−2021).</w:t>
      </w:r>
      <w:r w:rsidRPr="005C78A1">
        <w:rPr>
          <w:rFonts w:cs="Arial"/>
          <w:snapToGrid w:val="0"/>
          <w:sz w:val="22"/>
          <w:szCs w:val="22"/>
          <w:vertAlign w:val="superscript"/>
        </w:rPr>
        <w:footnoteReference w:id="11"/>
      </w:r>
      <w:r w:rsidRPr="005C78A1">
        <w:rPr>
          <w:rFonts w:cs="Arial"/>
          <w:snapToGrid w:val="0"/>
          <w:sz w:val="22"/>
          <w:szCs w:val="22"/>
        </w:rPr>
        <w:t xml:space="preserve"> HPKVN will subsume the ongoing skilling programs of some Departments such as Horticulture, Health, Animal Husbandry, Tribal Affairs, and Tourism, and align them with national quality assurance standards. It will encourage PPPs in TVET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w:t>
      </w:r>
      <w:r w:rsidR="00C944F4" w:rsidRPr="005C78A1">
        <w:rPr>
          <w:rFonts w:cs="Arial"/>
          <w:snapToGrid w:val="0"/>
          <w:sz w:val="22"/>
          <w:szCs w:val="22"/>
        </w:rPr>
        <w:t>courses</w:t>
      </w:r>
      <w:r w:rsidRPr="005C78A1">
        <w:rPr>
          <w:rFonts w:cs="Arial"/>
          <w:snapToGrid w:val="0"/>
          <w:sz w:val="22"/>
          <w:szCs w:val="22"/>
        </w:rPr>
        <w:t xml:space="preserve">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TVET, and help to counter the stigma attached to it. To expand TVET options for the girls of HP, the project will establish a polytechnic for women focusing on trades such as </w:t>
      </w:r>
      <w:r w:rsidR="00D55812">
        <w:rPr>
          <w:rFonts w:cs="Arial"/>
          <w:snapToGrid w:val="0"/>
          <w:sz w:val="22"/>
          <w:szCs w:val="22"/>
        </w:rPr>
        <w:t xml:space="preserve">Civil Engineering, Electrical Engineering, Computer Engineering and Architectural </w:t>
      </w:r>
      <w:r w:rsidR="00C944F4">
        <w:rPr>
          <w:rFonts w:cs="Arial"/>
          <w:snapToGrid w:val="0"/>
          <w:sz w:val="22"/>
          <w:szCs w:val="22"/>
        </w:rPr>
        <w:t xml:space="preserve">Assistantship </w:t>
      </w:r>
      <w:r w:rsidR="00C944F4" w:rsidRPr="005C78A1">
        <w:rPr>
          <w:rFonts w:cs="Arial"/>
          <w:snapToGrid w:val="0"/>
          <w:sz w:val="22"/>
          <w:szCs w:val="22"/>
        </w:rPr>
        <w:t>which</w:t>
      </w:r>
      <w:r w:rsidRPr="005C78A1">
        <w:rPr>
          <w:rFonts w:cs="Arial"/>
          <w:snapToGrid w:val="0"/>
          <w:sz w:val="22"/>
          <w:szCs w:val="22"/>
        </w:rPr>
        <w:t xml:space="preserve"> are in high demand.</w:t>
      </w:r>
      <w:r w:rsidRPr="005C78A1">
        <w:rPr>
          <w:rFonts w:cs="Arial"/>
          <w:snapToGrid w:val="0"/>
          <w:sz w:val="22"/>
          <w:szCs w:val="22"/>
          <w:vertAlign w:val="superscript"/>
        </w:rPr>
        <w:footnoteReference w:id="12"/>
      </w:r>
      <w:r w:rsidRPr="005C78A1">
        <w:rPr>
          <w:rFonts w:cs="Arial"/>
          <w:snapToGrid w:val="0"/>
          <w:sz w:val="22"/>
          <w:szCs w:val="22"/>
        </w:rPr>
        <w:t xml:space="preserve"> 1,200 women will be trained over the project period. Overall, the proposed project will boost HP’s annual TVET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w:t>
      </w:r>
      <w:r w:rsidR="00F4786B">
        <w:rPr>
          <w:rFonts w:cs="Arial"/>
          <w:snapToGrid w:val="0"/>
          <w:sz w:val="22"/>
          <w:szCs w:val="22"/>
        </w:rPr>
        <w:t xml:space="preserve"> is</w:t>
      </w:r>
      <w:r w:rsidRPr="005C78A1">
        <w:rPr>
          <w:rFonts w:cs="Arial"/>
          <w:snapToGrid w:val="0"/>
          <w:sz w:val="22"/>
          <w:szCs w:val="22"/>
        </w:rPr>
        <w:t xml:space="preserve">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w:t>
      </w:r>
      <w:r w:rsidR="00F4786B" w:rsidRPr="005C78A1">
        <w:rPr>
          <w:rFonts w:cs="Arial"/>
          <w:snapToGrid w:val="0"/>
          <w:sz w:val="22"/>
          <w:szCs w:val="22"/>
        </w:rPr>
        <w:t xml:space="preserve">and </w:t>
      </w:r>
      <w:r w:rsidR="00F4786B">
        <w:rPr>
          <w:rFonts w:cs="Arial"/>
          <w:snapToGrid w:val="0"/>
          <w:sz w:val="22"/>
          <w:szCs w:val="22"/>
        </w:rPr>
        <w:t>few new</w:t>
      </w:r>
      <w:r w:rsidR="005652B6" w:rsidRPr="005C78A1">
        <w:rPr>
          <w:rFonts w:cs="Arial"/>
          <w:snapToGrid w:val="0"/>
          <w:sz w:val="22"/>
          <w:szCs w:val="22"/>
        </w:rPr>
        <w:t xml:space="preserve"> Model Career </w:t>
      </w:r>
      <w:r w:rsidR="00B85D9E" w:rsidRPr="005C78A1">
        <w:rPr>
          <w:rFonts w:cs="Arial"/>
          <w:snapToGrid w:val="0"/>
          <w:sz w:val="22"/>
          <w:szCs w:val="22"/>
        </w:rPr>
        <w:t>Centre</w:t>
      </w:r>
      <w:r w:rsidR="00F4786B">
        <w:rPr>
          <w:rFonts w:cs="Arial"/>
          <w:snapToGrid w:val="0"/>
          <w:sz w:val="22"/>
          <w:szCs w:val="22"/>
        </w:rPr>
        <w:t>s</w:t>
      </w:r>
      <w:r w:rsidR="00B85D9E" w:rsidRPr="005C78A1">
        <w:rPr>
          <w:rFonts w:cs="Arial"/>
          <w:snapToGrid w:val="0"/>
          <w:sz w:val="22"/>
          <w:szCs w:val="22"/>
        </w:rPr>
        <w:t xml:space="preserve"> will</w:t>
      </w:r>
      <w:r w:rsidR="005652B6" w:rsidRPr="005C78A1">
        <w:rPr>
          <w:rFonts w:cs="Arial"/>
          <w:snapToGrid w:val="0"/>
          <w:sz w:val="22"/>
          <w:szCs w:val="22"/>
        </w:rPr>
        <w:t xml:space="preserve"> be established</w:t>
      </w:r>
      <w:r w:rsidR="00F4786B">
        <w:rPr>
          <w:rFonts w:cs="Arial"/>
          <w:snapToGrid w:val="0"/>
          <w:sz w:val="22"/>
          <w:szCs w:val="22"/>
        </w:rPr>
        <w:t xml:space="preserve">. </w:t>
      </w:r>
      <w:r w:rsidRPr="005C78A1">
        <w:rPr>
          <w:rFonts w:cs="Arial"/>
          <w:snapToGrid w:val="0"/>
          <w:sz w:val="22"/>
          <w:szCs w:val="22"/>
        </w:rPr>
        <w:t xml:space="preserve">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lastRenderedPageBreak/>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(DORD) and the Department of Urban Development (DOUD) in delivering training in these centers. The project will also help the Department of Technical </w:t>
      </w:r>
      <w:r w:rsidR="00F4786B" w:rsidRPr="005C78A1">
        <w:rPr>
          <w:rFonts w:cs="Arial"/>
          <w:snapToGrid w:val="0"/>
          <w:sz w:val="22"/>
          <w:szCs w:val="22"/>
        </w:rPr>
        <w:t>Education</w:t>
      </w:r>
      <w:r w:rsidR="00F4786B">
        <w:rPr>
          <w:rFonts w:cs="Arial"/>
          <w:snapToGrid w:val="0"/>
          <w:sz w:val="22"/>
          <w:szCs w:val="22"/>
        </w:rPr>
        <w:t xml:space="preserve"> </w:t>
      </w:r>
      <w:r w:rsidRPr="005C78A1">
        <w:rPr>
          <w:rFonts w:cs="Arial"/>
          <w:snapToGrid w:val="0"/>
          <w:sz w:val="22"/>
          <w:szCs w:val="22"/>
        </w:rPr>
        <w:t>Vocational &amp; Industrial Training (D</w:t>
      </w:r>
      <w:r w:rsidR="00F4786B">
        <w:rPr>
          <w:rFonts w:cs="Arial"/>
          <w:snapToGrid w:val="0"/>
          <w:sz w:val="22"/>
          <w:szCs w:val="22"/>
        </w:rPr>
        <w:t>O</w:t>
      </w:r>
      <w:r w:rsidRPr="005C78A1">
        <w:rPr>
          <w:rFonts w:cs="Arial"/>
          <w:snapToGrid w:val="0"/>
          <w:sz w:val="22"/>
          <w:szCs w:val="22"/>
        </w:rPr>
        <w:t xml:space="preserve">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 </w:t>
      </w:r>
      <w:r w:rsidR="00BE6C7E">
        <w:rPr>
          <w:rFonts w:cs="Arial"/>
          <w:snapToGrid w:val="0"/>
          <w:sz w:val="22"/>
          <w:szCs w:val="22"/>
        </w:rPr>
        <w:t xml:space="preserve"> CLC at Bilaspur </w:t>
      </w:r>
      <w:r w:rsidRPr="005C78A1">
        <w:rPr>
          <w:rFonts w:cs="Arial"/>
          <w:snapToGrid w:val="0"/>
          <w:sz w:val="22"/>
          <w:szCs w:val="22"/>
        </w:rPr>
        <w:t xml:space="preserve">will expand TVET training options for </w:t>
      </w:r>
      <w:r w:rsidR="00BB492B">
        <w:rPr>
          <w:rFonts w:cs="Arial"/>
          <w:snapToGrid w:val="0"/>
          <w:sz w:val="22"/>
          <w:szCs w:val="22"/>
        </w:rPr>
        <w:t xml:space="preserve"> </w:t>
      </w:r>
      <w:r w:rsidR="00BE6C7E">
        <w:rPr>
          <w:rFonts w:cs="Arial"/>
          <w:snapToGrid w:val="0"/>
          <w:sz w:val="22"/>
          <w:szCs w:val="22"/>
        </w:rPr>
        <w:t xml:space="preserve"> urban</w:t>
      </w:r>
      <w:r w:rsidR="00BB492B">
        <w:rPr>
          <w:rFonts w:cs="Arial"/>
          <w:snapToGrid w:val="0"/>
          <w:sz w:val="22"/>
          <w:szCs w:val="22"/>
        </w:rPr>
        <w:t xml:space="preserve"> youth</w:t>
      </w:r>
      <w:r w:rsidRPr="005C78A1">
        <w:rPr>
          <w:rFonts w:cs="Arial"/>
          <w:snapToGrid w:val="0"/>
          <w:sz w:val="22"/>
          <w:szCs w:val="22"/>
        </w:rPr>
        <w:t>.</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HPKVN’s project management, fiduciary, safeguards, and training capacity. A cadre of staff specialized in different facets of TVET – counseling, training, quality assurance, industry engagement, skill-gap analysis, and M&amp;E – will be trained. HPKVN will prepare a TVET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 xml:space="preserve">The project is pro-poor and gender focused. The target trainees are the needy urban and rural youth of HP, and those enrolled in government arts and science colleges and TVET training </w:t>
      </w:r>
      <w:r w:rsidR="00D55812" w:rsidRPr="005C78A1">
        <w:rPr>
          <w:rFonts w:cs="Arial"/>
          <w:snapToGrid w:val="0"/>
          <w:sz w:val="22"/>
          <w:szCs w:val="22"/>
        </w:rPr>
        <w:t>institutes. Training</w:t>
      </w:r>
      <w:r w:rsidRPr="005C78A1">
        <w:rPr>
          <w:rFonts w:cs="Arial"/>
          <w:snapToGrid w:val="0"/>
          <w:sz w:val="22"/>
          <w:szCs w:val="22"/>
        </w:rPr>
        <w:t xml:space="preserve">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w:t>
      </w:r>
      <w:r w:rsidR="00E37214">
        <w:rPr>
          <w:rFonts w:cs="Arial"/>
          <w:snapToGrid w:val="0"/>
          <w:sz w:val="22"/>
          <w:szCs w:val="22"/>
        </w:rPr>
        <w:t>P</w:t>
      </w:r>
      <w:r w:rsidRPr="005C78A1">
        <w:rPr>
          <w:rFonts w:cs="Arial"/>
          <w:snapToGrid w:val="0"/>
          <w:sz w:val="22"/>
          <w:szCs w:val="22"/>
        </w:rPr>
        <w:t xml:space="preserve">olytechnic (output 3), introduce gender-sensitive vocational courses in arts and science colleges where a high proportion of women are enrolled, and design counseling modules to inform women of the opportunities and career choices offered by </w:t>
      </w:r>
      <w:r w:rsidRPr="005C78A1">
        <w:rPr>
          <w:rFonts w:cs="Arial"/>
          <w:snapToGrid w:val="0"/>
          <w:sz w:val="22"/>
          <w:szCs w:val="22"/>
        </w:rPr>
        <w:lastRenderedPageBreak/>
        <w:t>TVET.</w:t>
      </w:r>
      <w:r w:rsidRPr="005C78A1">
        <w:rPr>
          <w:rFonts w:cs="Arial"/>
          <w:snapToGrid w:val="0"/>
          <w:sz w:val="22"/>
          <w:szCs w:val="22"/>
          <w:vertAlign w:val="superscript"/>
        </w:rPr>
        <w:footnoteReference w:id="13"/>
      </w:r>
      <w:r w:rsidRPr="00755529">
        <w:rPr>
          <w:rFonts w:cs="Arial"/>
          <w:snapToGrid w:val="0"/>
          <w:sz w:val="22"/>
          <w:szCs w:val="22"/>
        </w:rPr>
        <w:t xml:space="preserve">   </w:t>
      </w:r>
    </w:p>
    <w:p w:rsidR="00E550D4" w:rsidRDefault="00D55812" w:rsidP="00E37214">
      <w:pPr>
        <w:pStyle w:val="BodyText"/>
        <w:tabs>
          <w:tab w:val="center" w:pos="4880"/>
        </w:tabs>
        <w:ind w:left="142" w:firstLine="0"/>
        <w:rPr>
          <w:rFonts w:cs="Arial"/>
          <w:snapToGrid w:val="0"/>
        </w:rPr>
      </w:pPr>
      <w:r>
        <w:rPr>
          <w:rFonts w:cs="Arial"/>
          <w:snapToGrid w:val="0"/>
          <w:sz w:val="22"/>
          <w:szCs w:val="22"/>
        </w:rPr>
        <w:t xml:space="preserve"> </w:t>
      </w:r>
      <w:r w:rsidR="00E37214">
        <w:rPr>
          <w:rFonts w:cs="Arial"/>
          <w:snapToGrid w:val="0"/>
          <w:sz w:val="22"/>
          <w:szCs w:val="22"/>
        </w:rPr>
        <w:tab/>
      </w:r>
    </w:p>
    <w:p w:rsidR="00CB7878" w:rsidRPr="00D00A3B" w:rsidRDefault="00BC0981" w:rsidP="00D84318">
      <w:pPr>
        <w:pStyle w:val="Heading1"/>
        <w:numPr>
          <w:ilvl w:val="0"/>
          <w:numId w:val="39"/>
        </w:numPr>
      </w:pPr>
      <w:bookmarkStart w:id="22" w:name="_Toc490318875"/>
      <w:r w:rsidRPr="00D00A3B">
        <w:t>S</w:t>
      </w:r>
      <w:r w:rsidR="00564B0B" w:rsidRPr="00D00A3B">
        <w:t>COPE OF LAND ACQUISITION AND RESETTLEMENT</w:t>
      </w:r>
      <w:r w:rsidR="001E41D2">
        <w:t xml:space="preserve"> ISSUE</w:t>
      </w:r>
      <w:bookmarkEnd w:id="21"/>
      <w:bookmarkEnd w:id="22"/>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construction and operation </w:t>
      </w:r>
      <w:r w:rsidR="002C0D01" w:rsidRPr="00242170">
        <w:rPr>
          <w:rFonts w:cs="Arial"/>
          <w:spacing w:val="-3"/>
          <w:w w:val="105"/>
          <w:sz w:val="22"/>
          <w:szCs w:val="22"/>
        </w:rPr>
        <w:t>of the</w:t>
      </w:r>
      <w:r w:rsidR="00B53B3C">
        <w:rPr>
          <w:rFonts w:cs="Arial"/>
          <w:spacing w:val="-3"/>
          <w:w w:val="105"/>
          <w:sz w:val="22"/>
          <w:szCs w:val="22"/>
        </w:rPr>
        <w:t xml:space="preserve"> </w:t>
      </w:r>
      <w:r w:rsidR="00BE6C7E">
        <w:rPr>
          <w:rFonts w:cs="Arial"/>
          <w:spacing w:val="-3"/>
          <w:w w:val="105"/>
          <w:sz w:val="22"/>
          <w:szCs w:val="22"/>
        </w:rPr>
        <w:t>CLC</w:t>
      </w:r>
      <w:r w:rsidR="00046868">
        <w:rPr>
          <w:rFonts w:cs="Arial"/>
          <w:spacing w:val="-3"/>
          <w:w w:val="105"/>
          <w:sz w:val="22"/>
          <w:szCs w:val="22"/>
        </w:rPr>
        <w:t xml:space="preserve"> at </w:t>
      </w:r>
      <w:r w:rsidR="00BE6C7E">
        <w:rPr>
          <w:rFonts w:cs="Arial"/>
          <w:spacing w:val="-3"/>
          <w:w w:val="105"/>
          <w:sz w:val="22"/>
          <w:szCs w:val="22"/>
        </w:rPr>
        <w:t>Bilaspur</w:t>
      </w:r>
      <w:r w:rsidR="00BC0981" w:rsidRPr="00242170">
        <w:rPr>
          <w:rFonts w:cs="Arial"/>
          <w:spacing w:val="-3"/>
          <w:w w:val="105"/>
          <w:sz w:val="22"/>
          <w:szCs w:val="22"/>
        </w:rPr>
        <w:t xml:space="preserve"> 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land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w:t>
      </w:r>
      <w:r w:rsidR="00B53B3C">
        <w:rPr>
          <w:rFonts w:cs="Arial"/>
          <w:spacing w:val="-3"/>
          <w:w w:val="105"/>
          <w:sz w:val="22"/>
          <w:szCs w:val="22"/>
        </w:rPr>
        <w:t>D</w:t>
      </w:r>
      <w:r w:rsidR="00046868">
        <w:rPr>
          <w:rFonts w:cs="Arial"/>
          <w:spacing w:val="-3"/>
          <w:w w:val="105"/>
          <w:sz w:val="22"/>
          <w:szCs w:val="22"/>
        </w:rPr>
        <w:t>O</w:t>
      </w:r>
      <w:r w:rsidR="00BE6C7E">
        <w:rPr>
          <w:rFonts w:cs="Arial"/>
          <w:spacing w:val="-3"/>
          <w:w w:val="105"/>
          <w:sz w:val="22"/>
          <w:szCs w:val="22"/>
        </w:rPr>
        <w:t>U</w:t>
      </w:r>
      <w:r w:rsidR="00F4786B">
        <w:rPr>
          <w:rFonts w:cs="Arial"/>
          <w:spacing w:val="-3"/>
          <w:w w:val="105"/>
          <w:sz w:val="22"/>
          <w:szCs w:val="22"/>
        </w:rPr>
        <w:t>D</w:t>
      </w:r>
      <w:r w:rsidR="00B53B3C">
        <w:rPr>
          <w:rFonts w:cs="Arial"/>
          <w:spacing w:val="-3"/>
          <w:w w:val="105"/>
          <w:sz w:val="22"/>
          <w:szCs w:val="22"/>
        </w:rPr>
        <w:t xml:space="preserve"> </w:t>
      </w:r>
      <w:r w:rsidR="00F84B01">
        <w:rPr>
          <w:rFonts w:cs="Arial"/>
          <w:spacing w:val="-3"/>
          <w:w w:val="105"/>
          <w:sz w:val="22"/>
          <w:szCs w:val="22"/>
        </w:rPr>
        <w:t>owned land)</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w:t>
      </w:r>
      <w:r w:rsidR="00B53B3C">
        <w:rPr>
          <w:rFonts w:cs="Arial"/>
          <w:spacing w:val="-3"/>
          <w:w w:val="105"/>
          <w:sz w:val="22"/>
          <w:szCs w:val="22"/>
        </w:rPr>
        <w:t xml:space="preserve"> </w:t>
      </w:r>
      <w:r w:rsidRPr="00C708D7">
        <w:rPr>
          <w:rFonts w:cs="Arial"/>
          <w:spacing w:val="-3"/>
          <w:w w:val="105"/>
          <w:sz w:val="22"/>
          <w:szCs w:val="22"/>
        </w:rPr>
        <w:t xml:space="preserve"> </w:t>
      </w:r>
      <w:r w:rsidR="00F84B01">
        <w:rPr>
          <w:rFonts w:cs="Arial"/>
          <w:spacing w:val="-3"/>
          <w:w w:val="105"/>
          <w:sz w:val="22"/>
          <w:szCs w:val="22"/>
        </w:rPr>
        <w:t xml:space="preserve"> </w:t>
      </w:r>
      <w:r w:rsidR="004B7D2D">
        <w:rPr>
          <w:rFonts w:cs="Arial"/>
          <w:spacing w:val="-3"/>
          <w:w w:val="105"/>
          <w:sz w:val="22"/>
          <w:szCs w:val="22"/>
        </w:rPr>
        <w:t>at the</w:t>
      </w:r>
      <w:r w:rsidR="00B53B3C">
        <w:rPr>
          <w:rFonts w:cs="Arial"/>
          <w:spacing w:val="-3"/>
          <w:w w:val="105"/>
          <w:sz w:val="22"/>
          <w:szCs w:val="22"/>
        </w:rPr>
        <w:t xml:space="preserve"> subproject site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046868" w:rsidRPr="00C708D7">
        <w:rPr>
          <w:rFonts w:cs="Arial"/>
          <w:spacing w:val="-3"/>
          <w:w w:val="105"/>
          <w:sz w:val="22"/>
          <w:szCs w:val="22"/>
        </w:rPr>
        <w:t>proposed</w:t>
      </w:r>
      <w:r w:rsidR="00046868">
        <w:rPr>
          <w:rFonts w:cs="Arial"/>
          <w:spacing w:val="-3"/>
          <w:w w:val="105"/>
          <w:sz w:val="22"/>
          <w:szCs w:val="22"/>
        </w:rPr>
        <w:t xml:space="preserve"> </w:t>
      </w:r>
      <w:r w:rsidR="00BE6C7E">
        <w:rPr>
          <w:rFonts w:cs="Arial"/>
          <w:spacing w:val="-3"/>
          <w:w w:val="105"/>
          <w:sz w:val="22"/>
          <w:szCs w:val="22"/>
        </w:rPr>
        <w:t xml:space="preserve"> plot of CLC </w:t>
      </w:r>
      <w:r w:rsidR="00D81134" w:rsidRPr="00C708D7">
        <w:rPr>
          <w:rFonts w:cs="Arial"/>
          <w:spacing w:val="-3"/>
          <w:w w:val="105"/>
          <w:sz w:val="22"/>
          <w:szCs w:val="22"/>
        </w:rPr>
        <w:t>and</w:t>
      </w:r>
      <w:r w:rsidR="00B53B3C">
        <w:rPr>
          <w:rFonts w:cs="Arial"/>
          <w:spacing w:val="-3"/>
          <w:w w:val="105"/>
          <w:sz w:val="22"/>
          <w:szCs w:val="22"/>
        </w:rPr>
        <w:t xml:space="preserve"> its </w:t>
      </w:r>
      <w:r w:rsidR="00D81134" w:rsidRPr="00C708D7">
        <w:rPr>
          <w:rFonts w:cs="Arial"/>
          <w:spacing w:val="-3"/>
          <w:w w:val="105"/>
          <w:sz w:val="22"/>
          <w:szCs w:val="22"/>
        </w:rPr>
        <w:t>surroundings</w:t>
      </w:r>
      <w:r w:rsidRPr="00C708D7">
        <w:rPr>
          <w:rFonts w:cs="Arial"/>
          <w:spacing w:val="-3"/>
          <w:w w:val="105"/>
          <w:sz w:val="22"/>
          <w:szCs w:val="22"/>
        </w:rPr>
        <w:t>.</w:t>
      </w:r>
      <w:r w:rsidR="00BC0981" w:rsidRPr="00C708D7">
        <w:rPr>
          <w:rFonts w:cs="Arial"/>
          <w:spacing w:val="-3"/>
          <w:w w:val="105"/>
          <w:sz w:val="22"/>
          <w:szCs w:val="22"/>
        </w:rPr>
        <w:t xml:space="preserve"> As </w:t>
      </w:r>
      <w:r w:rsidR="004B7D2D" w:rsidRPr="00C708D7">
        <w:rPr>
          <w:rFonts w:cs="Arial"/>
          <w:spacing w:val="-3"/>
          <w:w w:val="105"/>
          <w:sz w:val="22"/>
          <w:szCs w:val="22"/>
        </w:rPr>
        <w:t>the project</w:t>
      </w:r>
      <w:r w:rsidR="00D81134" w:rsidRPr="00C708D7">
        <w:rPr>
          <w:rFonts w:cs="Arial"/>
          <w:spacing w:val="-3"/>
          <w:w w:val="105"/>
          <w:sz w:val="22"/>
          <w:szCs w:val="22"/>
        </w:rPr>
        <w:t xml:space="preserve">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on </w:t>
      </w:r>
      <w:r w:rsidR="00046868">
        <w:rPr>
          <w:rFonts w:cs="Arial"/>
          <w:spacing w:val="-3"/>
          <w:w w:val="105"/>
          <w:sz w:val="22"/>
          <w:szCs w:val="22"/>
        </w:rPr>
        <w:t xml:space="preserve">GOHP </w:t>
      </w:r>
      <w:r w:rsidR="00046868" w:rsidRPr="00C708D7">
        <w:rPr>
          <w:rFonts w:cs="Arial"/>
          <w:spacing w:val="-3"/>
          <w:w w:val="105"/>
          <w:sz w:val="22"/>
          <w:szCs w:val="22"/>
        </w:rPr>
        <w:t>owned</w:t>
      </w:r>
      <w:r w:rsidR="00BC0981" w:rsidRPr="00C708D7">
        <w:rPr>
          <w:rFonts w:cs="Arial"/>
          <w:spacing w:val="-3"/>
          <w:w w:val="105"/>
          <w:sz w:val="22"/>
          <w:szCs w:val="22"/>
        </w:rPr>
        <w:t xml:space="preserve"> land</w:t>
      </w:r>
      <w:r w:rsidR="00E14A29">
        <w:rPr>
          <w:rFonts w:cs="Arial"/>
          <w:spacing w:val="-3"/>
          <w:w w:val="105"/>
          <w:sz w:val="22"/>
          <w:szCs w:val="22"/>
        </w:rPr>
        <w:t xml:space="preserve"> </w:t>
      </w:r>
      <w:r w:rsidR="00B53B3C">
        <w:rPr>
          <w:rFonts w:cs="Arial"/>
          <w:spacing w:val="-3"/>
          <w:w w:val="105"/>
          <w:sz w:val="22"/>
          <w:szCs w:val="22"/>
        </w:rPr>
        <w:t xml:space="preserve">in possession of </w:t>
      </w:r>
      <w:r w:rsidR="00D55812">
        <w:rPr>
          <w:rFonts w:cs="Arial"/>
          <w:spacing w:val="-3"/>
          <w:w w:val="105"/>
          <w:sz w:val="22"/>
          <w:szCs w:val="22"/>
        </w:rPr>
        <w:t>DO</w:t>
      </w:r>
      <w:r w:rsidR="00BE6C7E">
        <w:rPr>
          <w:rFonts w:cs="Arial"/>
          <w:spacing w:val="-3"/>
          <w:w w:val="105"/>
          <w:sz w:val="22"/>
          <w:szCs w:val="22"/>
        </w:rPr>
        <w:t>U</w:t>
      </w:r>
      <w:r w:rsidR="00F4786B">
        <w:rPr>
          <w:rFonts w:cs="Arial"/>
          <w:spacing w:val="-3"/>
          <w:w w:val="105"/>
          <w:sz w:val="22"/>
          <w:szCs w:val="22"/>
        </w:rPr>
        <w:t>D</w:t>
      </w:r>
      <w:r w:rsidR="00B53B3C">
        <w:rPr>
          <w:rFonts w:cs="Arial"/>
          <w:spacing w:val="-3"/>
          <w:w w:val="105"/>
          <w:sz w:val="22"/>
          <w:szCs w:val="22"/>
        </w:rPr>
        <w:t xml:space="preserve">, who </w:t>
      </w:r>
      <w:r w:rsidR="00046868">
        <w:rPr>
          <w:rFonts w:cs="Arial"/>
          <w:spacing w:val="-3"/>
          <w:w w:val="105"/>
          <w:sz w:val="22"/>
          <w:szCs w:val="22"/>
        </w:rPr>
        <w:t>will manage</w:t>
      </w:r>
      <w:r w:rsidR="00D55812">
        <w:rPr>
          <w:rFonts w:cs="Arial"/>
          <w:spacing w:val="-3"/>
          <w:w w:val="105"/>
          <w:sz w:val="22"/>
          <w:szCs w:val="22"/>
        </w:rPr>
        <w:t xml:space="preserve"> and operate the </w:t>
      </w:r>
      <w:r w:rsidR="00BE6C7E">
        <w:rPr>
          <w:rFonts w:cs="Arial"/>
          <w:spacing w:val="-3"/>
          <w:w w:val="105"/>
          <w:sz w:val="22"/>
          <w:szCs w:val="22"/>
        </w:rPr>
        <w:t>CLC</w:t>
      </w:r>
      <w:r w:rsidR="00B53B3C">
        <w:rPr>
          <w:rFonts w:cs="Arial"/>
          <w:spacing w:val="-3"/>
          <w:w w:val="105"/>
          <w:sz w:val="22"/>
          <w:szCs w:val="22"/>
        </w:rPr>
        <w:t xml:space="preserve">. In the subproject </w:t>
      </w:r>
      <w:r w:rsidR="004B7D2D">
        <w:rPr>
          <w:rFonts w:cs="Arial"/>
          <w:spacing w:val="-3"/>
          <w:w w:val="105"/>
          <w:sz w:val="22"/>
          <w:szCs w:val="22"/>
        </w:rPr>
        <w:t xml:space="preserve">implementation </w:t>
      </w:r>
      <w:r w:rsidR="004B7D2D" w:rsidRPr="00C708D7">
        <w:rPr>
          <w:rFonts w:cs="Arial"/>
          <w:spacing w:val="-3"/>
          <w:w w:val="105"/>
          <w:sz w:val="22"/>
          <w:szCs w:val="22"/>
        </w:rPr>
        <w:t>no</w:t>
      </w:r>
      <w:r w:rsidR="00BC0981" w:rsidRPr="00C708D7">
        <w:rPr>
          <w:rFonts w:cs="Arial"/>
          <w:spacing w:val="-3"/>
          <w:w w:val="105"/>
          <w:sz w:val="22"/>
          <w:szCs w:val="22"/>
        </w:rPr>
        <w:t xml:space="preserve"> land acquisitions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3" w:name="_GoBack"/>
      <w:bookmarkStart w:id="24" w:name="_Toc389050330"/>
      <w:bookmarkStart w:id="25" w:name="_Toc490318876"/>
      <w:bookmarkEnd w:id="23"/>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vacant government land.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(IP</w:t>
      </w:r>
      <w:r w:rsidR="00D062D0" w:rsidRPr="00D00A3B">
        <w:rPr>
          <w:rFonts w:cs="Arial"/>
          <w:spacing w:val="-3"/>
          <w:w w:val="105"/>
          <w:sz w:val="22"/>
          <w:szCs w:val="22"/>
        </w:rPr>
        <w:t>D</w:t>
      </w:r>
      <w:r w:rsidRPr="00D00A3B">
        <w:rPr>
          <w:rFonts w:cs="Arial"/>
          <w:spacing w:val="-3"/>
          <w:w w:val="105"/>
          <w:sz w:val="22"/>
          <w:szCs w:val="22"/>
        </w:rPr>
        <w:t>P</w:t>
      </w:r>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w:t>
      </w:r>
      <w:r w:rsidR="004C6A47">
        <w:rPr>
          <w:rFonts w:cs="Arial"/>
          <w:spacing w:val="-3"/>
          <w:w w:val="105"/>
          <w:sz w:val="22"/>
          <w:szCs w:val="22"/>
        </w:rPr>
        <w:t>construction and</w:t>
      </w:r>
      <w:r w:rsidR="00D55812">
        <w:rPr>
          <w:rFonts w:cs="Arial"/>
          <w:spacing w:val="-3"/>
          <w:w w:val="105"/>
          <w:sz w:val="22"/>
          <w:szCs w:val="22"/>
        </w:rPr>
        <w:t xml:space="preserve"> operations </w:t>
      </w:r>
      <w:r w:rsidR="00F00DCA">
        <w:rPr>
          <w:rFonts w:cs="Arial"/>
          <w:spacing w:val="-3"/>
          <w:w w:val="105"/>
          <w:sz w:val="22"/>
          <w:szCs w:val="22"/>
        </w:rPr>
        <w:t>of CLC</w:t>
      </w:r>
      <w:r w:rsidR="00BE6C7E">
        <w:rPr>
          <w:rFonts w:cs="Arial"/>
          <w:spacing w:val="-3"/>
          <w:w w:val="105"/>
          <w:sz w:val="22"/>
          <w:szCs w:val="22"/>
        </w:rPr>
        <w:t xml:space="preserve"> at Bilaspur town</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Lahaul Spiti and Kinnaur</w:t>
      </w:r>
      <w:r w:rsidR="00216295">
        <w:rPr>
          <w:rFonts w:cs="Arial"/>
          <w:spacing w:val="-3"/>
          <w:w w:val="105"/>
          <w:sz w:val="22"/>
          <w:szCs w:val="22"/>
        </w:rPr>
        <w:t xml:space="preserve"> districts</w:t>
      </w:r>
      <w:r w:rsidR="004C6A47">
        <w:rPr>
          <w:rFonts w:cs="Arial"/>
          <w:spacing w:val="-3"/>
          <w:w w:val="105"/>
          <w:sz w:val="22"/>
          <w:szCs w:val="22"/>
        </w:rPr>
        <w:t xml:space="preserve">. </w:t>
      </w:r>
      <w:r w:rsidR="00487002">
        <w:rPr>
          <w:rFonts w:cs="Arial"/>
          <w:spacing w:val="-3"/>
          <w:w w:val="105"/>
          <w:sz w:val="22"/>
          <w:szCs w:val="22"/>
        </w:rPr>
        <w:t xml:space="preserve">These are far away from </w:t>
      </w:r>
      <w:r w:rsidR="00F00DCA">
        <w:rPr>
          <w:rFonts w:cs="Arial"/>
          <w:spacing w:val="-3"/>
          <w:w w:val="105"/>
          <w:sz w:val="22"/>
          <w:szCs w:val="22"/>
        </w:rPr>
        <w:t>the Bilaspur district and CLC site</w:t>
      </w:r>
      <w:r w:rsidR="00487002">
        <w:rPr>
          <w:rFonts w:cs="Arial"/>
          <w:spacing w:val="-3"/>
          <w:w w:val="105"/>
          <w:sz w:val="22"/>
          <w:szCs w:val="22"/>
        </w:rPr>
        <w:t>.</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490318877"/>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w:t>
      </w:r>
      <w:r w:rsidR="004C6A47" w:rsidRPr="00D00A3B">
        <w:rPr>
          <w:rFonts w:cs="Arial"/>
          <w:spacing w:val="-3"/>
          <w:w w:val="105"/>
          <w:sz w:val="22"/>
          <w:szCs w:val="22"/>
        </w:rPr>
        <w:t xml:space="preserve">proposed </w:t>
      </w:r>
      <w:r w:rsidR="004C6A47">
        <w:rPr>
          <w:rFonts w:cs="Arial"/>
          <w:spacing w:val="-3"/>
          <w:w w:val="105"/>
          <w:sz w:val="22"/>
          <w:szCs w:val="22"/>
        </w:rPr>
        <w:t>sub</w:t>
      </w:r>
      <w:r w:rsidR="00487002">
        <w:rPr>
          <w:rFonts w:cs="Arial"/>
          <w:spacing w:val="-3"/>
          <w:w w:val="105"/>
          <w:sz w:val="22"/>
          <w:szCs w:val="22"/>
        </w:rPr>
        <w:t xml:space="preserve"> </w:t>
      </w:r>
      <w:r w:rsidRPr="00D00A3B">
        <w:rPr>
          <w:rFonts w:cs="Arial"/>
          <w:spacing w:val="-3"/>
          <w:w w:val="105"/>
          <w:sz w:val="22"/>
          <w:szCs w:val="22"/>
        </w:rPr>
        <w:t>project</w:t>
      </w:r>
      <w:r w:rsidR="00B53B3C">
        <w:rPr>
          <w:rFonts w:cs="Arial"/>
          <w:spacing w:val="-3"/>
          <w:w w:val="105"/>
          <w:sz w:val="22"/>
          <w:szCs w:val="22"/>
        </w:rPr>
        <w:t xml:space="preserve"> </w:t>
      </w:r>
      <w:r w:rsidR="00D55812">
        <w:rPr>
          <w:rFonts w:cs="Arial"/>
          <w:spacing w:val="-3"/>
          <w:w w:val="105"/>
          <w:sz w:val="22"/>
          <w:szCs w:val="22"/>
        </w:rPr>
        <w:t>construction and operations</w:t>
      </w:r>
      <w:r w:rsidR="00B53B3C">
        <w:rPr>
          <w:rFonts w:cs="Arial"/>
          <w:spacing w:val="-3"/>
          <w:w w:val="105"/>
          <w:sz w:val="22"/>
          <w:szCs w:val="22"/>
        </w:rPr>
        <w:t xml:space="preserve"> will</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00D55812">
        <w:rPr>
          <w:rFonts w:cs="Arial"/>
          <w:spacing w:val="-3"/>
          <w:w w:val="105"/>
          <w:sz w:val="22"/>
          <w:szCs w:val="22"/>
        </w:rPr>
        <w:t xml:space="preserve"> not</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 </w:t>
      </w:r>
      <w:r w:rsidR="00B53B3C">
        <w:rPr>
          <w:rFonts w:cs="Arial"/>
          <w:spacing w:val="-3"/>
          <w:w w:val="105"/>
          <w:sz w:val="22"/>
          <w:szCs w:val="22"/>
        </w:rPr>
        <w:t>sub</w:t>
      </w:r>
      <w:r w:rsidR="00290798">
        <w:rPr>
          <w:rFonts w:cs="Arial"/>
          <w:spacing w:val="-3"/>
          <w:w w:val="105"/>
          <w:sz w:val="22"/>
          <w:szCs w:val="22"/>
        </w:rPr>
        <w:t xml:space="preserve">project will </w:t>
      </w:r>
      <w:r w:rsidR="004C6A47">
        <w:rPr>
          <w:rFonts w:cs="Arial"/>
          <w:spacing w:val="-3"/>
          <w:w w:val="105"/>
          <w:sz w:val="22"/>
          <w:szCs w:val="22"/>
        </w:rPr>
        <w:t>raise technical</w:t>
      </w:r>
      <w:r w:rsidR="00D55812">
        <w:rPr>
          <w:rFonts w:cs="Arial"/>
          <w:spacing w:val="-3"/>
          <w:w w:val="105"/>
          <w:sz w:val="22"/>
          <w:szCs w:val="22"/>
        </w:rPr>
        <w:t xml:space="preserve"> </w:t>
      </w:r>
      <w:r w:rsidR="00290798">
        <w:rPr>
          <w:rFonts w:cs="Arial"/>
          <w:spacing w:val="-3"/>
          <w:w w:val="105"/>
          <w:sz w:val="22"/>
          <w:szCs w:val="22"/>
        </w:rPr>
        <w:t>skills</w:t>
      </w:r>
      <w:r w:rsidR="00D55812">
        <w:rPr>
          <w:rFonts w:cs="Arial"/>
          <w:spacing w:val="-3"/>
          <w:w w:val="105"/>
          <w:sz w:val="22"/>
          <w:szCs w:val="22"/>
        </w:rPr>
        <w:t xml:space="preserve"> of females</w:t>
      </w:r>
      <w:r w:rsidR="00290798">
        <w:rPr>
          <w:rFonts w:cs="Arial"/>
          <w:spacing w:val="-3"/>
          <w:w w:val="105"/>
          <w:sz w:val="22"/>
          <w:szCs w:val="22"/>
        </w:rPr>
        <w:t xml:space="preserve"> </w:t>
      </w:r>
      <w:r w:rsidR="004C6A47">
        <w:rPr>
          <w:rFonts w:cs="Arial"/>
          <w:spacing w:val="-3"/>
          <w:w w:val="105"/>
          <w:sz w:val="22"/>
          <w:szCs w:val="22"/>
        </w:rPr>
        <w:t>and will</w:t>
      </w:r>
      <w:r w:rsidR="00B53B3C">
        <w:rPr>
          <w:rFonts w:cs="Arial"/>
          <w:spacing w:val="-3"/>
          <w:w w:val="105"/>
          <w:sz w:val="22"/>
          <w:szCs w:val="22"/>
        </w:rPr>
        <w:t xml:space="preserve"> help in getting employment</w:t>
      </w:r>
      <w:r w:rsidR="00644080">
        <w:rPr>
          <w:rFonts w:cs="Arial"/>
          <w:spacing w:val="-3"/>
          <w:w w:val="105"/>
          <w:sz w:val="22"/>
          <w:szCs w:val="22"/>
        </w:rPr>
        <w:t xml:space="preserve">. </w:t>
      </w:r>
      <w:r w:rsidR="00290798">
        <w:rPr>
          <w:rFonts w:cs="Arial"/>
          <w:spacing w:val="-3"/>
          <w:w w:val="105"/>
          <w:sz w:val="22"/>
          <w:szCs w:val="22"/>
        </w:rPr>
        <w:t>The</w:t>
      </w:r>
      <w:r w:rsidR="00B53B3C">
        <w:rPr>
          <w:rFonts w:cs="Arial"/>
          <w:spacing w:val="-3"/>
          <w:w w:val="105"/>
          <w:sz w:val="22"/>
          <w:szCs w:val="22"/>
        </w:rPr>
        <w:t xml:space="preserve"> HPSDP</w:t>
      </w:r>
      <w:r w:rsidR="00290798">
        <w:rPr>
          <w:rFonts w:cs="Arial"/>
          <w:spacing w:val="-3"/>
          <w:w w:val="105"/>
          <w:sz w:val="22"/>
          <w:szCs w:val="22"/>
        </w:rPr>
        <w:t xml:space="preserve"> project</w:t>
      </w:r>
      <w:r w:rsidR="00B53B3C">
        <w:rPr>
          <w:rFonts w:cs="Arial"/>
          <w:spacing w:val="-3"/>
          <w:w w:val="105"/>
          <w:sz w:val="22"/>
          <w:szCs w:val="22"/>
        </w:rPr>
        <w:t xml:space="preserve"> as a whole</w:t>
      </w:r>
      <w:r w:rsidR="00290798">
        <w:rPr>
          <w:rFonts w:cs="Arial"/>
          <w:spacing w:val="-3"/>
          <w:w w:val="105"/>
          <w:sz w:val="22"/>
          <w:szCs w:val="22"/>
        </w:rPr>
        <w:t xml:space="preserve">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 for participation in income generation and livelihood related activities</w:t>
      </w:r>
      <w:r w:rsidRPr="00D00A3B">
        <w:rPr>
          <w:rFonts w:cs="Arial"/>
          <w:spacing w:val="-3"/>
          <w:w w:val="105"/>
          <w:sz w:val="22"/>
          <w:szCs w:val="22"/>
        </w:rPr>
        <w:t>.</w:t>
      </w:r>
    </w:p>
    <w:p w:rsidR="00290798"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lastRenderedPageBreak/>
        <w:t>Further</w:t>
      </w:r>
      <w:r w:rsidR="008B6EA9">
        <w:rPr>
          <w:rFonts w:cs="Arial"/>
          <w:spacing w:val="-3"/>
          <w:w w:val="105"/>
          <w:sz w:val="22"/>
          <w:szCs w:val="22"/>
        </w:rPr>
        <w:t>, DoP</w:t>
      </w:r>
      <w:r w:rsidR="00216295">
        <w:rPr>
          <w:rFonts w:cs="Arial"/>
          <w:spacing w:val="-3"/>
          <w:w w:val="105"/>
          <w:sz w:val="22"/>
          <w:szCs w:val="22"/>
        </w:rPr>
        <w:t xml:space="preserve">, </w:t>
      </w:r>
      <w:r w:rsidR="009B77E9">
        <w:rPr>
          <w:rFonts w:cs="Arial"/>
          <w:spacing w:val="-3"/>
          <w:w w:val="105"/>
          <w:sz w:val="22"/>
          <w:szCs w:val="22"/>
        </w:rPr>
        <w:t xml:space="preserve"> DO</w:t>
      </w:r>
      <w:r w:rsidR="00781B3D">
        <w:rPr>
          <w:rFonts w:cs="Arial"/>
          <w:spacing w:val="-3"/>
          <w:w w:val="105"/>
          <w:sz w:val="22"/>
          <w:szCs w:val="22"/>
        </w:rPr>
        <w:t>U</w:t>
      </w:r>
      <w:r w:rsidR="009B77E9">
        <w:rPr>
          <w:rFonts w:cs="Arial"/>
          <w:spacing w:val="-3"/>
          <w:w w:val="105"/>
          <w:sz w:val="22"/>
          <w:szCs w:val="22"/>
        </w:rPr>
        <w:t xml:space="preserve">D, </w:t>
      </w:r>
      <w:r w:rsidR="00216295">
        <w:rPr>
          <w:rFonts w:cs="Arial"/>
          <w:spacing w:val="-3"/>
          <w:w w:val="105"/>
          <w:sz w:val="22"/>
          <w:szCs w:val="22"/>
        </w:rPr>
        <w:t xml:space="preserve">HPKVN and other implementing </w:t>
      </w:r>
      <w:r w:rsidR="008B6EA9">
        <w:rPr>
          <w:rFonts w:cs="Arial"/>
          <w:spacing w:val="-3"/>
          <w:w w:val="105"/>
          <w:sz w:val="22"/>
          <w:szCs w:val="22"/>
        </w:rPr>
        <w:t>agencies will</w:t>
      </w:r>
      <w:r>
        <w:rPr>
          <w:rFonts w:cs="Arial"/>
          <w:spacing w:val="-3"/>
          <w:w w:val="105"/>
          <w:sz w:val="22"/>
          <w:szCs w:val="22"/>
        </w:rPr>
        <w:t xml:space="preserve"> also publicize </w:t>
      </w:r>
      <w:r w:rsidR="00E60FF1">
        <w:rPr>
          <w:rFonts w:cs="Arial"/>
          <w:spacing w:val="-3"/>
          <w:w w:val="105"/>
          <w:sz w:val="22"/>
          <w:szCs w:val="22"/>
        </w:rPr>
        <w:t xml:space="preserve">facilities </w:t>
      </w:r>
      <w:r w:rsidR="00025CDA">
        <w:rPr>
          <w:rFonts w:cs="Arial"/>
          <w:spacing w:val="-3"/>
          <w:w w:val="105"/>
          <w:sz w:val="22"/>
          <w:szCs w:val="22"/>
        </w:rPr>
        <w:t>available at</w:t>
      </w:r>
      <w:r w:rsidR="00573997">
        <w:rPr>
          <w:rFonts w:cs="Arial"/>
          <w:spacing w:val="-3"/>
          <w:w w:val="105"/>
          <w:sz w:val="22"/>
          <w:szCs w:val="22"/>
        </w:rPr>
        <w:t xml:space="preserve"> </w:t>
      </w:r>
      <w:r w:rsidR="00781B3D">
        <w:rPr>
          <w:rFonts w:cs="Arial"/>
          <w:spacing w:val="-3"/>
          <w:w w:val="105"/>
          <w:sz w:val="22"/>
          <w:szCs w:val="22"/>
        </w:rPr>
        <w:t>C</w:t>
      </w:r>
      <w:r w:rsidR="00025CDA">
        <w:rPr>
          <w:rFonts w:cs="Arial"/>
          <w:spacing w:val="-3"/>
          <w:w w:val="105"/>
          <w:sz w:val="22"/>
          <w:szCs w:val="22"/>
        </w:rPr>
        <w:t>LC</w:t>
      </w:r>
      <w:r w:rsidR="00573997">
        <w:rPr>
          <w:rFonts w:cs="Arial"/>
          <w:spacing w:val="-3"/>
          <w:w w:val="105"/>
          <w:sz w:val="22"/>
          <w:szCs w:val="22"/>
        </w:rPr>
        <w:t xml:space="preserve"> for taking up job based training programs</w:t>
      </w:r>
      <w:r w:rsidR="00E60FF1">
        <w:rPr>
          <w:rFonts w:cs="Arial"/>
          <w:spacing w:val="-3"/>
          <w:w w:val="105"/>
          <w:sz w:val="22"/>
          <w:szCs w:val="22"/>
        </w:rPr>
        <w:t xml:space="preserve">. This will help </w:t>
      </w:r>
      <w:r w:rsidR="00644080">
        <w:rPr>
          <w:rFonts w:cs="Arial"/>
          <w:spacing w:val="-3"/>
          <w:w w:val="105"/>
          <w:sz w:val="22"/>
          <w:szCs w:val="22"/>
        </w:rPr>
        <w:t xml:space="preserve"> </w:t>
      </w:r>
      <w:r w:rsidR="00E60FF1">
        <w:rPr>
          <w:rFonts w:cs="Arial"/>
          <w:spacing w:val="-3"/>
          <w:w w:val="105"/>
          <w:sz w:val="22"/>
          <w:szCs w:val="22"/>
        </w:rPr>
        <w:t xml:space="preserve"> women youth in </w:t>
      </w:r>
      <w:r w:rsidR="00025CDA">
        <w:rPr>
          <w:rFonts w:cs="Arial"/>
          <w:spacing w:val="-3"/>
          <w:w w:val="105"/>
          <w:sz w:val="22"/>
          <w:szCs w:val="22"/>
        </w:rPr>
        <w:t>getting training</w:t>
      </w:r>
      <w:r w:rsidR="00573997">
        <w:rPr>
          <w:rFonts w:cs="Arial"/>
          <w:spacing w:val="-3"/>
          <w:w w:val="105"/>
          <w:sz w:val="22"/>
          <w:szCs w:val="22"/>
        </w:rPr>
        <w:t xml:space="preserve"> in job oriented </w:t>
      </w:r>
      <w:r w:rsidR="00025CDA">
        <w:rPr>
          <w:rFonts w:cs="Arial"/>
          <w:spacing w:val="-3"/>
          <w:w w:val="105"/>
          <w:sz w:val="22"/>
          <w:szCs w:val="22"/>
        </w:rPr>
        <w:t>skills in</w:t>
      </w:r>
      <w:r w:rsidR="00644080">
        <w:rPr>
          <w:rFonts w:cs="Arial"/>
          <w:spacing w:val="-3"/>
          <w:w w:val="105"/>
          <w:sz w:val="22"/>
          <w:szCs w:val="22"/>
        </w:rPr>
        <w:t xml:space="preserve"> </w:t>
      </w:r>
      <w:r w:rsidR="00573997">
        <w:rPr>
          <w:rFonts w:cs="Arial"/>
          <w:spacing w:val="-3"/>
          <w:w w:val="105"/>
          <w:sz w:val="22"/>
          <w:szCs w:val="22"/>
        </w:rPr>
        <w:t xml:space="preserve"> </w:t>
      </w:r>
      <w:r w:rsidR="00025CDA">
        <w:rPr>
          <w:rFonts w:cs="Arial"/>
          <w:spacing w:val="-3"/>
          <w:w w:val="105"/>
          <w:sz w:val="22"/>
          <w:szCs w:val="22"/>
        </w:rPr>
        <w:t xml:space="preserve"> </w:t>
      </w:r>
      <w:r w:rsidR="000772CF">
        <w:rPr>
          <w:rFonts w:cs="Arial"/>
          <w:spacing w:val="-3"/>
          <w:w w:val="105"/>
          <w:sz w:val="22"/>
          <w:szCs w:val="22"/>
        </w:rPr>
        <w:t xml:space="preserve">Bilaspur </w:t>
      </w:r>
      <w:r w:rsidR="00025CDA">
        <w:rPr>
          <w:rFonts w:cs="Arial"/>
          <w:spacing w:val="-3"/>
          <w:w w:val="105"/>
          <w:sz w:val="22"/>
          <w:szCs w:val="22"/>
        </w:rPr>
        <w:t xml:space="preserve"> district</w:t>
      </w:r>
      <w:r w:rsidR="00E60FF1">
        <w:rPr>
          <w:rFonts w:cs="Arial"/>
          <w:spacing w:val="-3"/>
          <w:w w:val="105"/>
          <w:sz w:val="22"/>
          <w:szCs w:val="22"/>
        </w:rPr>
        <w:t xml:space="preserve"> and surroundings</w:t>
      </w:r>
      <w:r w:rsidR="00B8798D">
        <w:rPr>
          <w:rFonts w:cs="Arial"/>
          <w:spacing w:val="-3"/>
          <w:w w:val="105"/>
          <w:sz w:val="22"/>
          <w:szCs w:val="22"/>
        </w:rPr>
        <w:t>.</w:t>
      </w:r>
      <w:r>
        <w:rPr>
          <w:rFonts w:cs="Arial"/>
          <w:spacing w:val="-3"/>
          <w:w w:val="105"/>
          <w:sz w:val="22"/>
          <w:szCs w:val="22"/>
        </w:rPr>
        <w:t xml:space="preserve"> </w:t>
      </w:r>
    </w:p>
    <w:p w:rsidR="00CB7878" w:rsidRPr="00D00A3B" w:rsidRDefault="00BC0981" w:rsidP="00D84318">
      <w:pPr>
        <w:pStyle w:val="Heading1"/>
        <w:numPr>
          <w:ilvl w:val="0"/>
          <w:numId w:val="39"/>
        </w:numPr>
      </w:pPr>
      <w:bookmarkStart w:id="28" w:name="_Toc389050332"/>
      <w:bookmarkStart w:id="29" w:name="_Toc490318878"/>
      <w:r w:rsidRPr="00D00A3B">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w:t>
      </w:r>
      <w:r w:rsidR="00573997" w:rsidRPr="00D00A3B">
        <w:rPr>
          <w:rFonts w:cs="Arial"/>
          <w:spacing w:val="-3"/>
          <w:w w:val="105"/>
          <w:sz w:val="22"/>
          <w:szCs w:val="22"/>
        </w:rPr>
        <w:t xml:space="preserve">by </w:t>
      </w:r>
      <w:r w:rsidR="00573997">
        <w:rPr>
          <w:rFonts w:cs="Arial"/>
          <w:spacing w:val="-3"/>
          <w:w w:val="105"/>
          <w:sz w:val="22"/>
          <w:szCs w:val="22"/>
        </w:rPr>
        <w:t>the</w:t>
      </w:r>
      <w:r w:rsidR="00677C02">
        <w:rPr>
          <w:rFonts w:cs="Arial"/>
          <w:spacing w:val="-3"/>
          <w:w w:val="105"/>
          <w:sz w:val="22"/>
          <w:szCs w:val="22"/>
        </w:rPr>
        <w:t xml:space="preserve"> </w:t>
      </w:r>
      <w:r w:rsidR="00644080">
        <w:rPr>
          <w:rFonts w:cs="Arial"/>
          <w:spacing w:val="-3"/>
          <w:w w:val="105"/>
          <w:sz w:val="22"/>
          <w:szCs w:val="22"/>
        </w:rPr>
        <w:t xml:space="preserve">establishment of </w:t>
      </w:r>
      <w:r w:rsidR="00781B3D">
        <w:rPr>
          <w:rFonts w:cs="Arial"/>
          <w:spacing w:val="-3"/>
          <w:w w:val="105"/>
          <w:sz w:val="22"/>
          <w:szCs w:val="22"/>
        </w:rPr>
        <w:t>C</w:t>
      </w:r>
      <w:r w:rsidR="00573997">
        <w:rPr>
          <w:rFonts w:cs="Arial"/>
          <w:spacing w:val="-3"/>
          <w:w w:val="105"/>
          <w:sz w:val="22"/>
          <w:szCs w:val="22"/>
        </w:rPr>
        <w:t>LC</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w:t>
      </w:r>
      <w:r w:rsidR="00573997" w:rsidRPr="00D00A3B">
        <w:rPr>
          <w:rFonts w:cs="Arial"/>
          <w:spacing w:val="-3"/>
          <w:w w:val="105"/>
          <w:sz w:val="22"/>
          <w:szCs w:val="22"/>
        </w:rPr>
        <w:t xml:space="preserve">the </w:t>
      </w:r>
      <w:r w:rsidR="00573997">
        <w:rPr>
          <w:rFonts w:cs="Arial"/>
          <w:spacing w:val="-3"/>
          <w:w w:val="105"/>
          <w:sz w:val="22"/>
          <w:szCs w:val="22"/>
        </w:rPr>
        <w:t>project</w:t>
      </w:r>
      <w:r w:rsidRPr="00D00A3B">
        <w:rPr>
          <w:rFonts w:cs="Arial"/>
          <w:spacing w:val="-3"/>
          <w:w w:val="105"/>
          <w:sz w:val="22"/>
          <w:szCs w:val="22"/>
        </w:rPr>
        <w:t xml:space="preserve"> interventions. No </w:t>
      </w:r>
      <w:r w:rsidR="00677C02">
        <w:rPr>
          <w:rFonts w:cs="Arial"/>
          <w:spacing w:val="-3"/>
          <w:w w:val="105"/>
          <w:sz w:val="22"/>
          <w:szCs w:val="22"/>
        </w:rPr>
        <w:t xml:space="preserve">Common Property Resources (CPRs) such as Schools, hospitals, wells, hand pumps, graveyards, and religious </w:t>
      </w:r>
      <w:r w:rsidR="00573997">
        <w:rPr>
          <w:rFonts w:cs="Arial"/>
          <w:spacing w:val="-3"/>
          <w:w w:val="105"/>
          <w:sz w:val="22"/>
          <w:szCs w:val="22"/>
        </w:rPr>
        <w:t>structures will</w:t>
      </w:r>
      <w:r w:rsidRPr="00D00A3B">
        <w:rPr>
          <w:rFonts w:cs="Arial"/>
          <w:spacing w:val="-3"/>
          <w:w w:val="105"/>
          <w:sz w:val="22"/>
          <w:szCs w:val="22"/>
        </w:rPr>
        <w:t xml:space="preserve"> also be affected. </w:t>
      </w:r>
      <w:r w:rsidR="00882430" w:rsidRPr="00D00A3B">
        <w:rPr>
          <w:rFonts w:cs="Arial"/>
          <w:spacing w:val="-3"/>
          <w:w w:val="105"/>
          <w:sz w:val="22"/>
          <w:szCs w:val="22"/>
        </w:rPr>
        <w:t>The vulnerable group</w:t>
      </w:r>
      <w:r w:rsidRPr="00D00A3B">
        <w:rPr>
          <w:rFonts w:cs="Arial"/>
          <w:spacing w:val="-3"/>
          <w:w w:val="105"/>
          <w:sz w:val="22"/>
          <w:szCs w:val="22"/>
        </w:rPr>
        <w:t xml:space="preserve">, indigenous and other ethnic groups are not being impacted.  A summary of resettlement impact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9B77E9">
        <w:rPr>
          <w:rFonts w:cs="Arial"/>
          <w:spacing w:val="-3"/>
          <w:w w:val="105"/>
          <w:sz w:val="22"/>
          <w:szCs w:val="22"/>
        </w:rPr>
        <w:t>PMC</w:t>
      </w:r>
      <w:r w:rsidR="00BA4337">
        <w:rPr>
          <w:rFonts w:cs="Arial"/>
          <w:spacing w:val="-3"/>
          <w:w w:val="105"/>
          <w:sz w:val="22"/>
          <w:szCs w:val="22"/>
        </w:rPr>
        <w:t xml:space="preserve"> team and the </w:t>
      </w:r>
      <w:r w:rsidR="002573A3">
        <w:rPr>
          <w:rFonts w:cs="Arial"/>
          <w:spacing w:val="-3"/>
          <w:w w:val="105"/>
          <w:sz w:val="22"/>
          <w:szCs w:val="22"/>
        </w:rPr>
        <w:t xml:space="preserve">IA </w:t>
      </w:r>
      <w:r w:rsidR="00BA4337">
        <w:rPr>
          <w:rFonts w:cs="Arial"/>
          <w:spacing w:val="-3"/>
          <w:w w:val="105"/>
          <w:sz w:val="22"/>
          <w:szCs w:val="22"/>
        </w:rPr>
        <w:t>officials</w:t>
      </w:r>
      <w:r w:rsidRPr="00D00A3B">
        <w:rPr>
          <w:rFonts w:cs="Arial"/>
          <w:spacing w:val="-3"/>
          <w:w w:val="105"/>
          <w:sz w:val="22"/>
          <w:szCs w:val="22"/>
        </w:rPr>
        <w:t xml:space="preserve"> to understand the possible impacts of the 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w:t>
      </w:r>
      <w:r w:rsidR="008B3891">
        <w:rPr>
          <w:rFonts w:cs="Arial"/>
          <w:spacing w:val="-3"/>
          <w:w w:val="105"/>
          <w:sz w:val="22"/>
          <w:szCs w:val="22"/>
        </w:rPr>
        <w:t xml:space="preserve">were </w:t>
      </w:r>
      <w:r w:rsidR="00BC0981" w:rsidRPr="00D00A3B">
        <w:rPr>
          <w:rFonts w:cs="Arial"/>
          <w:spacing w:val="-3"/>
          <w:w w:val="105"/>
          <w:sz w:val="22"/>
          <w:szCs w:val="22"/>
        </w:rPr>
        <w:t xml:space="preserve"> pleased </w:t>
      </w:r>
      <w:r w:rsidR="00573997" w:rsidRPr="00D00A3B">
        <w:rPr>
          <w:rFonts w:cs="Arial"/>
          <w:spacing w:val="-3"/>
          <w:w w:val="105"/>
          <w:sz w:val="22"/>
          <w:szCs w:val="22"/>
        </w:rPr>
        <w:t xml:space="preserve">by </w:t>
      </w:r>
      <w:r w:rsidR="00573997">
        <w:rPr>
          <w:rFonts w:cs="Arial"/>
          <w:spacing w:val="-3"/>
          <w:w w:val="105"/>
          <w:sz w:val="22"/>
          <w:szCs w:val="22"/>
        </w:rPr>
        <w:t>learning</w:t>
      </w:r>
      <w:r w:rsidR="00242AC4">
        <w:rPr>
          <w:rFonts w:cs="Arial"/>
          <w:spacing w:val="-3"/>
          <w:w w:val="105"/>
          <w:sz w:val="22"/>
          <w:szCs w:val="22"/>
        </w:rPr>
        <w:t xml:space="preserve"> </w:t>
      </w:r>
      <w:r w:rsidR="00573997">
        <w:rPr>
          <w:rFonts w:cs="Arial"/>
          <w:spacing w:val="-3"/>
          <w:w w:val="105"/>
          <w:sz w:val="22"/>
          <w:szCs w:val="22"/>
        </w:rPr>
        <w:t>that project</w:t>
      </w:r>
      <w:r w:rsidR="00BE25D1">
        <w:rPr>
          <w:rFonts w:cs="Arial"/>
          <w:spacing w:val="-3"/>
          <w:w w:val="105"/>
          <w:sz w:val="22"/>
          <w:szCs w:val="22"/>
        </w:rPr>
        <w:t xml:space="preserve"> related facilities to upgrade the skills of youth</w:t>
      </w:r>
      <w:r w:rsidR="00990AB3">
        <w:rPr>
          <w:rFonts w:cs="Arial"/>
          <w:spacing w:val="-3"/>
          <w:w w:val="105"/>
          <w:sz w:val="22"/>
          <w:szCs w:val="22"/>
        </w:rPr>
        <w:t xml:space="preserve"> </w:t>
      </w:r>
      <w:r w:rsidR="00025CDA">
        <w:rPr>
          <w:rFonts w:cs="Arial"/>
          <w:spacing w:val="-3"/>
          <w:w w:val="105"/>
          <w:sz w:val="22"/>
          <w:szCs w:val="22"/>
        </w:rPr>
        <w:t>and a</w:t>
      </w:r>
      <w:r w:rsidR="00644080">
        <w:rPr>
          <w:rFonts w:cs="Arial"/>
          <w:spacing w:val="-3"/>
          <w:w w:val="105"/>
          <w:sz w:val="22"/>
          <w:szCs w:val="22"/>
        </w:rPr>
        <w:t xml:space="preserve"> </w:t>
      </w:r>
      <w:r w:rsidR="00025CDA">
        <w:rPr>
          <w:rFonts w:cs="Arial"/>
          <w:spacing w:val="-3"/>
          <w:w w:val="105"/>
          <w:sz w:val="22"/>
          <w:szCs w:val="22"/>
        </w:rPr>
        <w:t xml:space="preserve">new </w:t>
      </w:r>
      <w:r w:rsidR="00781B3D">
        <w:rPr>
          <w:rFonts w:cs="Arial"/>
          <w:spacing w:val="-3"/>
          <w:w w:val="105"/>
          <w:sz w:val="22"/>
          <w:szCs w:val="22"/>
        </w:rPr>
        <w:t>C</w:t>
      </w:r>
      <w:r w:rsidR="00025CDA">
        <w:rPr>
          <w:rFonts w:cs="Arial"/>
          <w:spacing w:val="-3"/>
          <w:w w:val="105"/>
          <w:sz w:val="22"/>
          <w:szCs w:val="22"/>
        </w:rPr>
        <w:t>LC will</w:t>
      </w:r>
      <w:r w:rsidR="00644080">
        <w:rPr>
          <w:rFonts w:cs="Arial"/>
          <w:spacing w:val="-3"/>
          <w:w w:val="105"/>
          <w:sz w:val="22"/>
          <w:szCs w:val="22"/>
        </w:rPr>
        <w:t xml:space="preserve"> be established </w:t>
      </w:r>
      <w:r w:rsidR="00242AC4">
        <w:rPr>
          <w:rFonts w:cs="Arial"/>
          <w:spacing w:val="-3"/>
          <w:w w:val="105"/>
          <w:sz w:val="22"/>
          <w:szCs w:val="22"/>
        </w:rPr>
        <w:t>in their area</w:t>
      </w:r>
      <w:r w:rsidR="00BC0981" w:rsidRPr="00D00A3B">
        <w:rPr>
          <w:rFonts w:cs="Arial"/>
          <w:spacing w:val="-3"/>
          <w:w w:val="105"/>
          <w:sz w:val="22"/>
          <w:szCs w:val="22"/>
        </w:rPr>
        <w:t xml:space="preserve"> </w:t>
      </w:r>
      <w:r w:rsidR="00025CDA" w:rsidRPr="00D00A3B">
        <w:rPr>
          <w:rFonts w:cs="Arial"/>
          <w:spacing w:val="-3"/>
          <w:w w:val="105"/>
          <w:sz w:val="22"/>
          <w:szCs w:val="22"/>
        </w:rPr>
        <w:t xml:space="preserve">and </w:t>
      </w:r>
      <w:r w:rsidR="00025CDA">
        <w:rPr>
          <w:rFonts w:cs="Arial"/>
          <w:spacing w:val="-3"/>
          <w:w w:val="105"/>
          <w:sz w:val="22"/>
          <w:szCs w:val="22"/>
        </w:rPr>
        <w:t>assured</w:t>
      </w:r>
      <w:r w:rsidR="00242AC4">
        <w:rPr>
          <w:rFonts w:cs="Arial"/>
          <w:spacing w:val="-3"/>
          <w:w w:val="105"/>
          <w:sz w:val="22"/>
          <w:szCs w:val="22"/>
        </w:rPr>
        <w:t xml:space="preserve">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w:t>
      </w:r>
      <w:r w:rsidR="00025CDA" w:rsidRPr="00D00A3B">
        <w:rPr>
          <w:rFonts w:cs="Arial"/>
          <w:spacing w:val="-3"/>
          <w:w w:val="105"/>
          <w:sz w:val="22"/>
          <w:szCs w:val="22"/>
        </w:rPr>
        <w:t xml:space="preserve">for </w:t>
      </w:r>
      <w:r w:rsidR="00025CDA">
        <w:rPr>
          <w:rFonts w:cs="Arial"/>
          <w:spacing w:val="-3"/>
          <w:w w:val="105"/>
          <w:sz w:val="22"/>
          <w:szCs w:val="22"/>
        </w:rPr>
        <w:t xml:space="preserve">the </w:t>
      </w:r>
      <w:r w:rsidR="00781B3D">
        <w:rPr>
          <w:rFonts w:cs="Arial"/>
          <w:spacing w:val="-3"/>
          <w:w w:val="105"/>
          <w:sz w:val="22"/>
          <w:szCs w:val="22"/>
        </w:rPr>
        <w:t>C</w:t>
      </w:r>
      <w:r w:rsidR="00025CDA">
        <w:rPr>
          <w:rFonts w:cs="Arial"/>
          <w:spacing w:val="-3"/>
          <w:w w:val="105"/>
          <w:sz w:val="22"/>
          <w:szCs w:val="22"/>
        </w:rPr>
        <w:t>LC</w:t>
      </w:r>
      <w:r w:rsidR="00573997">
        <w:rPr>
          <w:rFonts w:cs="Arial"/>
          <w:spacing w:val="-3"/>
          <w:w w:val="105"/>
          <w:sz w:val="22"/>
          <w:szCs w:val="22"/>
        </w:rPr>
        <w:t xml:space="preserve"> e</w:t>
      </w:r>
      <w:r w:rsidR="00644080">
        <w:rPr>
          <w:rFonts w:cs="Arial"/>
          <w:spacing w:val="-3"/>
          <w:w w:val="105"/>
          <w:sz w:val="22"/>
          <w:szCs w:val="22"/>
        </w:rPr>
        <w:t>stablishment,</w:t>
      </w:r>
      <w:r w:rsidR="00242AC4">
        <w:rPr>
          <w:rFonts w:cs="Arial"/>
          <w:spacing w:val="-3"/>
          <w:w w:val="105"/>
          <w:sz w:val="22"/>
          <w:szCs w:val="22"/>
        </w:rPr>
        <w:t xml:space="preserve"> learning that </w:t>
      </w:r>
      <w:r w:rsidR="00025CDA">
        <w:rPr>
          <w:rFonts w:cs="Arial"/>
          <w:spacing w:val="-3"/>
          <w:w w:val="105"/>
          <w:sz w:val="22"/>
          <w:szCs w:val="22"/>
        </w:rPr>
        <w:t xml:space="preserve">this </w:t>
      </w:r>
      <w:r w:rsidR="00025CDA" w:rsidRPr="00D00A3B">
        <w:rPr>
          <w:rFonts w:cs="Arial"/>
          <w:spacing w:val="-3"/>
          <w:w w:val="105"/>
          <w:sz w:val="22"/>
          <w:szCs w:val="22"/>
        </w:rPr>
        <w:t>will</w:t>
      </w:r>
      <w:r w:rsidRPr="00D00A3B">
        <w:rPr>
          <w:rFonts w:cs="Arial"/>
          <w:spacing w:val="-3"/>
          <w:w w:val="105"/>
          <w:sz w:val="22"/>
          <w:szCs w:val="22"/>
        </w:rPr>
        <w:t xml:space="preserve"> be on </w:t>
      </w:r>
      <w:r w:rsidR="00823A49" w:rsidRPr="00D00A3B">
        <w:rPr>
          <w:rFonts w:cs="Arial"/>
          <w:spacing w:val="-3"/>
          <w:w w:val="105"/>
          <w:sz w:val="22"/>
          <w:szCs w:val="22"/>
        </w:rPr>
        <w:t xml:space="preserve">government </w:t>
      </w:r>
      <w:r w:rsidRPr="00D00A3B">
        <w:rPr>
          <w:rFonts w:cs="Arial"/>
          <w:spacing w:val="-3"/>
          <w:w w:val="105"/>
          <w:sz w:val="22"/>
          <w:szCs w:val="22"/>
        </w:rPr>
        <w:t>land</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490318879"/>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at PIU</w:t>
      </w:r>
      <w:r w:rsidR="00573997">
        <w:rPr>
          <w:rFonts w:cs="Arial"/>
          <w:spacing w:val="-3"/>
          <w:w w:val="105"/>
          <w:sz w:val="22"/>
          <w:szCs w:val="22"/>
        </w:rPr>
        <w:t xml:space="preserve"> at local level</w:t>
      </w:r>
      <w:r w:rsidR="008402CE" w:rsidRPr="00D710BA">
        <w:rPr>
          <w:rFonts w:cs="Arial"/>
          <w:spacing w:val="-3"/>
          <w:w w:val="105"/>
          <w:sz w:val="22"/>
          <w:szCs w:val="22"/>
        </w:rPr>
        <w:t xml:space="preserve"> who can resolve the issue at the site level. If the matter is not solved within 7 days period by the PIU, it will be brought to the Grievance Redress Committee constituted for the purpose in PIU</w:t>
      </w:r>
      <w:r w:rsidR="00573997">
        <w:rPr>
          <w:rFonts w:cs="Arial"/>
          <w:spacing w:val="-3"/>
          <w:w w:val="105"/>
          <w:sz w:val="22"/>
          <w:szCs w:val="22"/>
        </w:rPr>
        <w:t xml:space="preserve"> at site</w:t>
      </w:r>
      <w:r w:rsidR="008402CE" w:rsidRPr="00D710BA">
        <w:rPr>
          <w:rFonts w:cs="Arial"/>
          <w:spacing w:val="-3"/>
          <w:w w:val="105"/>
          <w:sz w:val="22"/>
          <w:szCs w:val="22"/>
        </w:rPr>
        <w:t xml:space="preserve">. This GRC shall discuss the issue in its monthly meeting and resolve the issues within one month of time after receiving the grievance. If the matter is not resolved by GRC at PIU level within stipulated time, it shall be referred to GRC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PIU.</w:t>
      </w:r>
    </w:p>
    <w:p w:rsidR="008402CE" w:rsidRPr="00D710BA" w:rsidRDefault="008402CE" w:rsidP="005C78A1">
      <w:pPr>
        <w:pStyle w:val="BodyText"/>
        <w:numPr>
          <w:ilvl w:val="0"/>
          <w:numId w:val="15"/>
        </w:numPr>
        <w:ind w:left="426" w:right="-12" w:hanging="426"/>
        <w:rPr>
          <w:rFonts w:cs="Arial"/>
          <w:spacing w:val="-1"/>
          <w:sz w:val="22"/>
          <w:szCs w:val="22"/>
        </w:rPr>
      </w:pPr>
      <w:r w:rsidRPr="00D710BA">
        <w:rPr>
          <w:sz w:val="22"/>
          <w:szCs w:val="22"/>
        </w:rPr>
        <w:t>GRC at PMU shall discuss the issue and try to resolve it and inform the PIU accordingly. If the matter is not resolved by the GRC at PMU level within one month of time</w:t>
      </w:r>
      <w:r w:rsidR="00514CAD">
        <w:rPr>
          <w:sz w:val="22"/>
          <w:szCs w:val="22"/>
        </w:rPr>
        <w:t xml:space="preserve">, </w:t>
      </w:r>
      <w:r w:rsidR="00573997">
        <w:rPr>
          <w:sz w:val="22"/>
          <w:szCs w:val="22"/>
        </w:rPr>
        <w:t xml:space="preserve">it will be referred to </w:t>
      </w:r>
      <w:r w:rsidR="00573997">
        <w:rPr>
          <w:sz w:val="22"/>
          <w:szCs w:val="22"/>
        </w:rPr>
        <w:lastRenderedPageBreak/>
        <w:t xml:space="preserve">the State Level Empowered Committee. This </w:t>
      </w:r>
      <w:r w:rsidR="00514CAD">
        <w:rPr>
          <w:sz w:val="22"/>
          <w:szCs w:val="22"/>
        </w:rPr>
        <w:t>committee will</w:t>
      </w:r>
      <w:r w:rsidR="00573997">
        <w:rPr>
          <w:sz w:val="22"/>
          <w:szCs w:val="22"/>
        </w:rPr>
        <w:t xml:space="preserve"> resolve the grievance within one month of receiving the complaint. </w:t>
      </w:r>
      <w:r w:rsidR="008E7F73">
        <w:rPr>
          <w:sz w:val="22"/>
          <w:szCs w:val="22"/>
        </w:rPr>
        <w:t xml:space="preserve"> T</w:t>
      </w:r>
      <w:r w:rsidRPr="00D710BA">
        <w:rPr>
          <w:sz w:val="22"/>
          <w:szCs w:val="22"/>
        </w:rPr>
        <w:t>he aggrieved person/party can bring the matter to The Court of Law</w:t>
      </w:r>
      <w:r w:rsidR="008E7F73">
        <w:rPr>
          <w:sz w:val="22"/>
          <w:szCs w:val="22"/>
        </w:rPr>
        <w:t xml:space="preserve"> any </w:t>
      </w:r>
      <w:r w:rsidR="00573997">
        <w:rPr>
          <w:sz w:val="22"/>
          <w:szCs w:val="22"/>
        </w:rPr>
        <w:t xml:space="preserve">time </w:t>
      </w:r>
      <w:r w:rsidR="00514CAD">
        <w:rPr>
          <w:sz w:val="22"/>
          <w:szCs w:val="22"/>
        </w:rPr>
        <w:t>before and</w:t>
      </w:r>
      <w:r w:rsidR="00644080">
        <w:rPr>
          <w:sz w:val="22"/>
          <w:szCs w:val="22"/>
        </w:rPr>
        <w:t xml:space="preserve"> or </w:t>
      </w:r>
      <w:r w:rsidR="008E7F73">
        <w:rPr>
          <w:sz w:val="22"/>
          <w:szCs w:val="22"/>
        </w:rPr>
        <w:t>after filing complaints at PIU or PMU level.</w:t>
      </w:r>
      <w:r w:rsidRPr="00D710BA">
        <w:rPr>
          <w:sz w:val="22"/>
          <w:szCs w:val="22"/>
        </w:rPr>
        <w:t xml:space="preserve"> The PIU shall keep records of all grievances received including contact details of complainant, date of receiving  the complaint, nature of grievance, agreed corrective actions and the date these were affected and final outcome. The grievance redress process is shown below.</w:t>
      </w:r>
    </w:p>
    <w:p w:rsidR="008B3891" w:rsidRDefault="008B3891" w:rsidP="005C78A1">
      <w:pPr>
        <w:pStyle w:val="Heading2"/>
        <w:spacing w:before="120" w:after="120"/>
        <w:ind w:left="426" w:hanging="426"/>
        <w:rPr>
          <w:rFonts w:cs="Arial"/>
          <w:b/>
          <w:bCs/>
          <w:i/>
          <w:iCs/>
          <w:spacing w:val="-1"/>
          <w:sz w:val="22"/>
          <w:szCs w:val="22"/>
        </w:rPr>
      </w:pPr>
      <w:bookmarkStart w:id="32" w:name="_Toc398560190"/>
      <w:bookmarkStart w:id="33" w:name="_Toc400217359"/>
      <w:bookmarkStart w:id="34" w:name="_Toc400217676"/>
      <w:bookmarkStart w:id="35" w:name="_Toc459403128"/>
      <w:bookmarkStart w:id="36" w:name="_Toc459405834"/>
      <w:bookmarkStart w:id="37" w:name="_Toc490318880"/>
    </w:p>
    <w:p w:rsidR="008402CE" w:rsidRPr="00953866" w:rsidRDefault="008402CE" w:rsidP="005C78A1">
      <w:pPr>
        <w:pStyle w:val="Heading2"/>
        <w:spacing w:before="120" w:after="120"/>
        <w:ind w:left="426" w:hanging="426"/>
        <w:rPr>
          <w:rFonts w:cs="Arial"/>
          <w:b/>
          <w:bCs/>
          <w:i/>
          <w:iCs/>
          <w:sz w:val="22"/>
          <w:szCs w:val="22"/>
        </w:rPr>
      </w:pPr>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
    <w:p w:rsidR="008402CE" w:rsidRPr="00D710BA" w:rsidRDefault="008402CE" w:rsidP="005C78A1">
      <w:pPr>
        <w:pStyle w:val="BodyText"/>
        <w:numPr>
          <w:ilvl w:val="0"/>
          <w:numId w:val="15"/>
        </w:numPr>
        <w:ind w:left="426" w:right="-12" w:hanging="426"/>
        <w:rPr>
          <w:sz w:val="22"/>
          <w:szCs w:val="22"/>
        </w:rPr>
      </w:pPr>
      <w:r w:rsidRPr="00D710BA">
        <w:rPr>
          <w:sz w:val="22"/>
          <w:szCs w:val="22"/>
        </w:rPr>
        <w:t>PIU Level Grievance Redress Committee (GRC- PIU) – This committee will comprise of one local elected member</w:t>
      </w:r>
      <w:r w:rsidR="008E7F73">
        <w:rPr>
          <w:sz w:val="22"/>
          <w:szCs w:val="22"/>
        </w:rPr>
        <w:t>s</w:t>
      </w:r>
      <w:r w:rsidRPr="00D710BA">
        <w:rPr>
          <w:sz w:val="22"/>
          <w:szCs w:val="22"/>
        </w:rPr>
        <w:t xml:space="preserve"> of </w:t>
      </w:r>
      <w:r w:rsidR="008B3891">
        <w:rPr>
          <w:sz w:val="22"/>
          <w:szCs w:val="22"/>
        </w:rPr>
        <w:t>village Panchayat</w:t>
      </w:r>
      <w:r w:rsidR="00990AB3">
        <w:rPr>
          <w:sz w:val="22"/>
          <w:szCs w:val="22"/>
        </w:rPr>
        <w:t xml:space="preserve">, </w:t>
      </w:r>
      <w:r w:rsidRPr="00D710BA">
        <w:rPr>
          <w:sz w:val="22"/>
          <w:szCs w:val="22"/>
        </w:rPr>
        <w:t>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GRC- </w:t>
      </w:r>
      <w:r w:rsidR="00014704" w:rsidRPr="00D710BA">
        <w:rPr>
          <w:sz w:val="22"/>
          <w:szCs w:val="22"/>
        </w:rPr>
        <w:t>PIU shall be headed by Project</w:t>
      </w:r>
      <w:r w:rsidRPr="00D710BA">
        <w:rPr>
          <w:sz w:val="22"/>
          <w:szCs w:val="22"/>
        </w:rPr>
        <w:t xml:space="preserve"> Manager (PIU). The committee will meet at least once in every month. Agenda of meeting shall be circulated to all the members and affected persons/aggrieved party along with venue, date and time; informed in written at least 7 days in advance of meeting. The matters shall remain with GRC at PIU level for one month and if grievance is not resolved within this time period, the matter shall be referred to GRC at PMU.</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GRC within Environmental and Social Management </w:t>
      </w:r>
      <w:r w:rsidR="00014704" w:rsidRPr="00D710BA">
        <w:rPr>
          <w:sz w:val="22"/>
          <w:szCs w:val="22"/>
        </w:rPr>
        <w:t>Cell (</w:t>
      </w:r>
      <w:r w:rsidRPr="00D710BA">
        <w:rPr>
          <w:sz w:val="22"/>
          <w:szCs w:val="22"/>
        </w:rPr>
        <w:t xml:space="preserve">ESMC) at PMU-There shall be one GRC in PMU. The matters not resolved by the GRC at PIU level within one month shall come under GRC at PMU. GRC at PMU will include </w:t>
      </w:r>
      <w:r w:rsidR="00573997">
        <w:rPr>
          <w:sz w:val="22"/>
          <w:szCs w:val="22"/>
        </w:rPr>
        <w:t>Managing</w:t>
      </w:r>
      <w:r w:rsidR="0037183F">
        <w:rPr>
          <w:sz w:val="22"/>
          <w:szCs w:val="22"/>
        </w:rPr>
        <w:t xml:space="preserve"> Director-</w:t>
      </w:r>
      <w:r w:rsidRPr="00D710BA">
        <w:rPr>
          <w:sz w:val="22"/>
          <w:szCs w:val="22"/>
        </w:rPr>
        <w:t xml:space="preserve"> HPKVN, Safeguard Specialists (Environmental and Social) of PMU and One representative from the DoUD,</w:t>
      </w:r>
      <w:r w:rsidR="00990AB3">
        <w:rPr>
          <w:sz w:val="22"/>
          <w:szCs w:val="22"/>
        </w:rPr>
        <w:t xml:space="preserve"> DOTE, DOLE, DORD</w:t>
      </w:r>
      <w:r w:rsidR="00567AD2">
        <w:rPr>
          <w:sz w:val="22"/>
          <w:szCs w:val="22"/>
        </w:rPr>
        <w:t xml:space="preserve"> from</w:t>
      </w:r>
      <w:r w:rsidRPr="00D710BA">
        <w:rPr>
          <w:sz w:val="22"/>
          <w:szCs w:val="22"/>
        </w:rPr>
        <w:t xml:space="preserve"> Shimla office</w:t>
      </w:r>
      <w:r w:rsidR="00990AB3">
        <w:rPr>
          <w:sz w:val="22"/>
          <w:szCs w:val="22"/>
        </w:rPr>
        <w:t>s</w:t>
      </w:r>
      <w:r w:rsidRPr="00D710BA">
        <w:rPr>
          <w:sz w:val="22"/>
          <w:szCs w:val="22"/>
        </w:rPr>
        <w:t xml:space="preserve">. The Committee shall be headed by </w:t>
      </w:r>
      <w:r w:rsidR="00990AB3">
        <w:rPr>
          <w:sz w:val="22"/>
          <w:szCs w:val="22"/>
        </w:rPr>
        <w:t>MD</w:t>
      </w:r>
      <w:r w:rsidRPr="00D710BA">
        <w:rPr>
          <w:sz w:val="22"/>
          <w:szCs w:val="22"/>
        </w:rPr>
        <w:t xml:space="preserve"> HPKVN. This committee shall look</w:t>
      </w:r>
      <w:r w:rsidR="00DC3B8D">
        <w:rPr>
          <w:sz w:val="22"/>
          <w:szCs w:val="22"/>
        </w:rPr>
        <w:t xml:space="preserve"> into</w:t>
      </w:r>
      <w:r w:rsidRPr="00D710BA">
        <w:rPr>
          <w:sz w:val="22"/>
          <w:szCs w:val="22"/>
        </w:rPr>
        <w:t xml:space="preserve"> the matters, which are referred to and not resolved by GRC at PIU level. If the matter is not resolved by the GRC at PMU level within one month of time, the aggrieved person/party can bring the matter to   State Level Empowered Committee (SLEC).</w:t>
      </w:r>
      <w:r w:rsidR="00514CAD">
        <w:rPr>
          <w:sz w:val="22"/>
          <w:szCs w:val="22"/>
        </w:rPr>
        <w:t xml:space="preserve"> This committee will resolve the issue within one month time. </w:t>
      </w:r>
    </w:p>
    <w:p w:rsidR="008402CE" w:rsidRPr="00D710BA" w:rsidRDefault="008402CE" w:rsidP="005C78A1">
      <w:pPr>
        <w:pStyle w:val="BodyText"/>
        <w:numPr>
          <w:ilvl w:val="0"/>
          <w:numId w:val="15"/>
        </w:numPr>
        <w:ind w:left="426" w:right="-12" w:hanging="426"/>
        <w:rPr>
          <w:sz w:val="22"/>
          <w:szCs w:val="22"/>
        </w:rPr>
      </w:pPr>
      <w:r w:rsidRPr="00644080">
        <w:rPr>
          <w:b/>
          <w:sz w:val="22"/>
          <w:szCs w:val="22"/>
        </w:rPr>
        <w:t>Approach to GRC</w:t>
      </w:r>
      <w:r w:rsidRPr="00D710BA">
        <w:rPr>
          <w:sz w:val="22"/>
          <w:szCs w:val="22"/>
        </w:rPr>
        <w:t>. Affected person/aggrieved party can approach to GRC for redress of his/their grievances through any of the following modes</w:t>
      </w:r>
      <w:r w:rsidR="008F30AD">
        <w:rPr>
          <w:sz w:val="22"/>
          <w:szCs w:val="22"/>
        </w:rPr>
        <w:t xml:space="preserve"> :</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 xml:space="preserve">Telecom based:  A  telephone number will be displayed at the web site of HPKVN as wells at the construction site of </w:t>
      </w:r>
      <w:r w:rsidR="00644080">
        <w:rPr>
          <w:rFonts w:ascii="Arial" w:hAnsi="Arial" w:cs="Arial"/>
        </w:rPr>
        <w:t xml:space="preserve"> </w:t>
      </w:r>
      <w:r w:rsidR="00781B3D">
        <w:rPr>
          <w:rFonts w:ascii="Arial" w:hAnsi="Arial" w:cs="Arial"/>
        </w:rPr>
        <w:t>CLC</w:t>
      </w:r>
      <w:r w:rsidR="008402CE" w:rsidRPr="008402CE">
        <w:rPr>
          <w:rFonts w:ascii="Arial" w:hAnsi="Arial" w:cs="Arial"/>
        </w:rPr>
        <w:t xml:space="preserve"> so that general public can register their complaint through telephone / mobile phone to the PIU/PMU office.</w:t>
      </w: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lastRenderedPageBreak/>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9533E5" w:rsidP="00014704">
      <w:pPr>
        <w:pStyle w:val="ListParagraph"/>
        <w:spacing w:after="0" w:line="240" w:lineRule="auto"/>
        <w:ind w:left="1440"/>
        <w:contextualSpacing/>
        <w:rPr>
          <w:rFonts w:ascii="Arial" w:hAnsi="Arial" w:cs="Arial"/>
          <w:sz w:val="18"/>
          <w:szCs w:val="20"/>
        </w:rPr>
      </w:pPr>
      <w:r w:rsidRPr="009533E5">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sidRPr="009533E5">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sidRPr="009533E5">
        <w:rPr>
          <w:b/>
          <w:noProof/>
          <w:spacing w:val="-1"/>
          <w:lang w:val="en-IN" w:eastAsia="en-IN"/>
        </w:rPr>
        <w:pict>
          <v:shape id="_x0000_s1259" type="#_x0000_t13" style="position:absolute;left:0;text-align:left;margin-left:76.5pt;margin-top:254.15pt;width:128.45pt;height:8.5pt;z-index:251661824"/>
        </w:pict>
      </w:r>
      <w:r w:rsidRPr="009533E5">
        <w:rPr>
          <w:b/>
          <w:noProof/>
          <w:spacing w:val="-1"/>
          <w:lang w:val="en-IN" w:eastAsia="en-IN"/>
        </w:rPr>
        <w:pict>
          <v:shape id="_x0000_s1258" type="#_x0000_t13" style="position:absolute;left:0;text-align:left;margin-left:76.5pt;margin-top:140.15pt;width:128.45pt;height:8.5pt;z-index:251660800"/>
        </w:pict>
      </w:r>
      <w:r w:rsidRPr="009533E5">
        <w:rPr>
          <w:b/>
          <w:noProof/>
          <w:spacing w:val="-1"/>
          <w:lang w:val="en-IN" w:eastAsia="en-IN"/>
        </w:rPr>
        <w:pict>
          <v:shape id="_x0000_s1257" type="#_x0000_t13" style="position:absolute;left:0;text-align:left;margin-left:76.5pt;margin-top:14.65pt;width:128.45pt;height:8.5pt;z-index:251659776"/>
        </w:pict>
      </w:r>
      <w:r w:rsidRPr="009533E5">
        <w:rPr>
          <w:b/>
          <w:noProof/>
          <w:spacing w:val="-1"/>
          <w:lang w:val="en-IN" w:eastAsia="en-IN"/>
        </w:rPr>
        <w:pict>
          <v:shape id="_x0000_s1252" type="#_x0000_t13" style="position:absolute;left:0;text-align:left;margin-left:319.1pt;margin-top:14.65pt;width:43.05pt;height:8.5pt;z-index:251654656"/>
        </w:pict>
      </w:r>
      <w:r w:rsidRPr="009533E5">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noProof/>
          <w:color w:val="FF0000"/>
          <w:sz w:val="22"/>
          <w:szCs w:val="22"/>
          <w:lang w:val="en-IN" w:eastAsia="en-IN"/>
        </w:rPr>
        <w:pict>
          <v:shape id="_x0000_s1247" type="#_x0000_t13" style="position:absolute;left:0;text-align:left;margin-left:149.4pt;margin-top:16.65pt;width:115.1pt;height:9.1pt;rotation:180;z-index:251650560"/>
        </w:pict>
      </w:r>
      <w:r w:rsidRPr="009533E5">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sidRPr="009533E5">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sidRPr="009533E5">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9533E5" w:rsidP="00014704">
      <w:pPr>
        <w:pStyle w:val="Default"/>
        <w:widowControl w:val="0"/>
        <w:tabs>
          <w:tab w:val="left" w:pos="0"/>
          <w:tab w:val="left" w:pos="180"/>
        </w:tabs>
        <w:spacing w:before="120" w:after="120" w:line="288" w:lineRule="auto"/>
        <w:rPr>
          <w:color w:val="FF0000"/>
          <w:sz w:val="22"/>
          <w:szCs w:val="22"/>
        </w:rPr>
      </w:pPr>
      <w:r w:rsidRPr="009533E5">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490318881"/>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w:t>
      </w:r>
      <w:r w:rsidR="00644080">
        <w:rPr>
          <w:sz w:val="22"/>
          <w:szCs w:val="22"/>
        </w:rPr>
        <w:t xml:space="preserve">establishment </w:t>
      </w:r>
      <w:r w:rsidR="00A22E03" w:rsidRPr="00D710BA">
        <w:rPr>
          <w:sz w:val="22"/>
          <w:szCs w:val="22"/>
        </w:rPr>
        <w:t xml:space="preserve">and operations of </w:t>
      </w:r>
      <w:r w:rsidR="00781B3D">
        <w:rPr>
          <w:sz w:val="22"/>
          <w:szCs w:val="22"/>
        </w:rPr>
        <w:t>C</w:t>
      </w:r>
      <w:r w:rsidR="008F30AD">
        <w:rPr>
          <w:sz w:val="22"/>
          <w:szCs w:val="22"/>
        </w:rPr>
        <w:t>LC</w:t>
      </w:r>
      <w:r w:rsidR="00DC3B8D">
        <w:rPr>
          <w:sz w:val="22"/>
          <w:szCs w:val="22"/>
        </w:rPr>
        <w:t xml:space="preserve"> at</w:t>
      </w:r>
      <w:r w:rsidR="00644080">
        <w:rPr>
          <w:sz w:val="22"/>
          <w:szCs w:val="22"/>
        </w:rPr>
        <w:t xml:space="preserve"> </w:t>
      </w:r>
      <w:r w:rsidR="00781B3D">
        <w:rPr>
          <w:sz w:val="22"/>
          <w:szCs w:val="22"/>
        </w:rPr>
        <w:t>Bilaspur</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 xml:space="preserve">The </w:t>
      </w:r>
      <w:r w:rsidR="00644080">
        <w:rPr>
          <w:sz w:val="22"/>
          <w:szCs w:val="22"/>
        </w:rPr>
        <w:t xml:space="preserve">establishment and functioning of </w:t>
      </w:r>
      <w:r w:rsidR="00781B3D">
        <w:rPr>
          <w:sz w:val="22"/>
          <w:szCs w:val="22"/>
        </w:rPr>
        <w:t>C</w:t>
      </w:r>
      <w:r w:rsidR="00C3677D">
        <w:rPr>
          <w:sz w:val="22"/>
          <w:szCs w:val="22"/>
        </w:rPr>
        <w:t xml:space="preserve">LC </w:t>
      </w:r>
      <w:r w:rsidR="00C3677D" w:rsidRPr="00D710BA">
        <w:rPr>
          <w:sz w:val="22"/>
          <w:szCs w:val="22"/>
        </w:rPr>
        <w:t>will</w:t>
      </w:r>
      <w:r w:rsidR="00BC0981" w:rsidRPr="00D710BA">
        <w:rPr>
          <w:sz w:val="22"/>
          <w:szCs w:val="22"/>
        </w:rPr>
        <w:t xml:space="preserve"> not result in permanent land acquisition and resettlement impacts because it will be undertaken within </w:t>
      </w:r>
      <w:r w:rsidR="00C3677D" w:rsidRPr="00D710BA">
        <w:rPr>
          <w:sz w:val="22"/>
          <w:szCs w:val="22"/>
        </w:rPr>
        <w:t>the land</w:t>
      </w:r>
      <w:r w:rsidR="00BC0981" w:rsidRPr="00D710BA">
        <w:rPr>
          <w:sz w:val="22"/>
          <w:szCs w:val="22"/>
        </w:rPr>
        <w:t xml:space="preserve"> available</w:t>
      </w:r>
      <w:r w:rsidR="00870631" w:rsidRPr="00D710BA">
        <w:rPr>
          <w:sz w:val="22"/>
          <w:szCs w:val="22"/>
        </w:rPr>
        <w:t xml:space="preserve"> and owned by the</w:t>
      </w:r>
      <w:r w:rsidR="00BC0981" w:rsidRPr="00D710BA">
        <w:rPr>
          <w:sz w:val="22"/>
          <w:szCs w:val="22"/>
        </w:rPr>
        <w:t xml:space="preserve"> </w:t>
      </w:r>
      <w:r w:rsidR="009C535A">
        <w:rPr>
          <w:sz w:val="22"/>
          <w:szCs w:val="22"/>
        </w:rPr>
        <w:t>DO</w:t>
      </w:r>
      <w:r w:rsidR="00781B3D">
        <w:rPr>
          <w:sz w:val="22"/>
          <w:szCs w:val="22"/>
        </w:rPr>
        <w:t>U</w:t>
      </w:r>
      <w:r w:rsidR="002B7091">
        <w:rPr>
          <w:sz w:val="22"/>
          <w:szCs w:val="22"/>
        </w:rPr>
        <w:t>D</w:t>
      </w:r>
      <w:r w:rsidR="009C535A">
        <w:rPr>
          <w:sz w:val="22"/>
          <w:szCs w:val="22"/>
        </w:rPr>
        <w:t>, GOHP</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w:t>
      </w:r>
      <w:r w:rsidR="00DC3B8D" w:rsidRPr="00D710BA">
        <w:rPr>
          <w:sz w:val="22"/>
          <w:szCs w:val="22"/>
        </w:rPr>
        <w:t>impact as</w:t>
      </w:r>
      <w:r w:rsidRPr="00D710BA">
        <w:rPr>
          <w:sz w:val="22"/>
          <w:szCs w:val="22"/>
        </w:rPr>
        <w:t xml:space="preserve"> per the ADB’s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lastRenderedPageBreak/>
        <w:t xml:space="preserve">The project has also been </w:t>
      </w:r>
      <w:r w:rsidR="00A370E4" w:rsidRPr="00D710BA">
        <w:rPr>
          <w:sz w:val="22"/>
          <w:szCs w:val="22"/>
        </w:rPr>
        <w:t xml:space="preserve">categorized as 'C' for Indigenous People </w:t>
      </w:r>
      <w:r w:rsidR="00DC3B8D" w:rsidRPr="00D710BA">
        <w:rPr>
          <w:sz w:val="22"/>
          <w:szCs w:val="22"/>
        </w:rPr>
        <w:t>(IP</w:t>
      </w:r>
      <w:r w:rsidR="00A370E4" w:rsidRPr="00D710BA">
        <w:rPr>
          <w:sz w:val="22"/>
          <w:szCs w:val="22"/>
        </w:rPr>
        <w:t xml:space="preserve">) impact </w:t>
      </w:r>
      <w:r w:rsidR="00DC3B8D" w:rsidRPr="00D710BA">
        <w:rPr>
          <w:sz w:val="22"/>
          <w:szCs w:val="22"/>
        </w:rPr>
        <w:t>as proposed</w:t>
      </w:r>
      <w:r w:rsidR="00D074C7" w:rsidRPr="00D710BA">
        <w:rPr>
          <w:sz w:val="22"/>
          <w:szCs w:val="22"/>
        </w:rPr>
        <w:t xml:space="preserve"> </w:t>
      </w:r>
      <w:r w:rsidR="00781B3D">
        <w:rPr>
          <w:sz w:val="22"/>
          <w:szCs w:val="22"/>
        </w:rPr>
        <w:t>C</w:t>
      </w:r>
      <w:r w:rsidR="002B7091">
        <w:rPr>
          <w:sz w:val="22"/>
          <w:szCs w:val="22"/>
        </w:rPr>
        <w:t>LC</w:t>
      </w:r>
      <w:r w:rsidR="00990AB3">
        <w:rPr>
          <w:sz w:val="22"/>
          <w:szCs w:val="22"/>
        </w:rPr>
        <w:t xml:space="preserve"> </w:t>
      </w:r>
      <w:r w:rsidR="008F30AD">
        <w:rPr>
          <w:sz w:val="22"/>
          <w:szCs w:val="22"/>
        </w:rPr>
        <w:t xml:space="preserve">site </w:t>
      </w:r>
      <w:r w:rsidR="008F30AD" w:rsidRPr="00D710BA">
        <w:rPr>
          <w:sz w:val="22"/>
          <w:szCs w:val="22"/>
        </w:rPr>
        <w:t>is</w:t>
      </w:r>
      <w:r w:rsidR="00D074C7" w:rsidRPr="00D710BA">
        <w:rPr>
          <w:sz w:val="22"/>
          <w:szCs w:val="22"/>
        </w:rPr>
        <w:t xml:space="preserve">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490318882"/>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781B3D">
        <w:rPr>
          <w:sz w:val="22"/>
          <w:szCs w:val="22"/>
        </w:rPr>
        <w:t>C</w:t>
      </w:r>
      <w:r w:rsidR="002B7091">
        <w:rPr>
          <w:sz w:val="22"/>
          <w:szCs w:val="22"/>
        </w:rPr>
        <w:t>LC</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Regularly remove trash from the site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w:t>
      </w:r>
      <w:r w:rsidR="008F30AD">
        <w:rPr>
          <w:rFonts w:ascii="Arial" w:hAnsi="Arial" w:cs="Arial"/>
          <w:bCs/>
          <w:color w:val="auto"/>
          <w:sz w:val="22"/>
          <w:szCs w:val="22"/>
        </w:rPr>
        <w:t>c</w:t>
      </w:r>
      <w:r w:rsidRPr="00D00A3B">
        <w:rPr>
          <w:rFonts w:ascii="Arial" w:hAnsi="Arial" w:cs="Arial"/>
          <w:bCs/>
          <w:color w:val="auto"/>
          <w:sz w:val="22"/>
          <w:szCs w:val="22"/>
        </w:rPr>
        <w:t xml:space="preserve">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 xml:space="preserve">of </w:t>
      </w:r>
      <w:r w:rsidR="009C535A">
        <w:rPr>
          <w:rFonts w:ascii="Arial" w:hAnsi="Arial" w:cs="Arial"/>
          <w:bCs/>
          <w:color w:val="auto"/>
          <w:sz w:val="22"/>
          <w:szCs w:val="22"/>
        </w:rPr>
        <w:t>subproject</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490318883"/>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w:t>
      </w:r>
      <w:r w:rsidR="008F30AD" w:rsidRPr="00D710BA">
        <w:rPr>
          <w:sz w:val="22"/>
          <w:szCs w:val="22"/>
        </w:rPr>
        <w:t>that</w:t>
      </w:r>
      <w:r w:rsidR="008F30AD">
        <w:rPr>
          <w:sz w:val="22"/>
          <w:szCs w:val="22"/>
        </w:rPr>
        <w:t xml:space="preserve"> </w:t>
      </w:r>
      <w:r w:rsidR="008F30AD" w:rsidRPr="00D710BA">
        <w:rPr>
          <w:sz w:val="22"/>
          <w:szCs w:val="22"/>
        </w:rPr>
        <w:t>establishment</w:t>
      </w:r>
      <w:r w:rsidR="009C535A">
        <w:rPr>
          <w:sz w:val="22"/>
          <w:szCs w:val="22"/>
        </w:rPr>
        <w:t xml:space="preserve"> and operations of </w:t>
      </w:r>
      <w:r w:rsidR="00781B3D">
        <w:rPr>
          <w:sz w:val="22"/>
          <w:szCs w:val="22"/>
        </w:rPr>
        <w:t>C</w:t>
      </w:r>
      <w:r w:rsidR="002B7091">
        <w:rPr>
          <w:sz w:val="22"/>
          <w:szCs w:val="22"/>
        </w:rPr>
        <w:t>LC</w:t>
      </w:r>
      <w:r w:rsidR="009C535A">
        <w:rPr>
          <w:sz w:val="22"/>
          <w:szCs w:val="22"/>
        </w:rPr>
        <w:t xml:space="preserve"> </w:t>
      </w:r>
      <w:r w:rsidR="00CC4480">
        <w:rPr>
          <w:sz w:val="22"/>
          <w:szCs w:val="22"/>
        </w:rPr>
        <w:t xml:space="preserve">at </w:t>
      </w:r>
      <w:r w:rsidR="00781B3D">
        <w:rPr>
          <w:sz w:val="22"/>
          <w:szCs w:val="22"/>
        </w:rPr>
        <w:t xml:space="preserve"> Bilaspur city</w:t>
      </w:r>
      <w:r w:rsidR="00DC3B8D">
        <w:rPr>
          <w:sz w:val="22"/>
          <w:szCs w:val="22"/>
        </w:rPr>
        <w:t xml:space="preserve"> </w:t>
      </w:r>
      <w:r w:rsidR="00DC3B8D"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w:t>
      </w:r>
      <w:r w:rsidR="009C535A">
        <w:rPr>
          <w:sz w:val="22"/>
          <w:szCs w:val="22"/>
        </w:rPr>
        <w:t xml:space="preserve"> </w:t>
      </w:r>
      <w:r w:rsidR="00781B3D">
        <w:rPr>
          <w:sz w:val="22"/>
          <w:szCs w:val="22"/>
        </w:rPr>
        <w:t>C</w:t>
      </w:r>
      <w:r w:rsidR="002B7091">
        <w:rPr>
          <w:sz w:val="22"/>
          <w:szCs w:val="22"/>
        </w:rPr>
        <w:t>LC</w:t>
      </w:r>
      <w:r w:rsidR="00DC3B8D">
        <w:rPr>
          <w:sz w:val="22"/>
          <w:szCs w:val="22"/>
        </w:rPr>
        <w:t xml:space="preserve"> </w:t>
      </w:r>
      <w:r w:rsidR="00DC3B8D" w:rsidRPr="00D710BA">
        <w:rPr>
          <w:sz w:val="22"/>
          <w:szCs w:val="22"/>
        </w:rPr>
        <w:t>infrastructure</w:t>
      </w:r>
      <w:r w:rsidR="008402CE" w:rsidRPr="00D710BA">
        <w:rPr>
          <w:sz w:val="22"/>
          <w:szCs w:val="22"/>
        </w:rPr>
        <w:t xml:space="preserve"> </w:t>
      </w:r>
      <w:r w:rsidR="00CC4480" w:rsidRPr="00D710BA">
        <w:rPr>
          <w:sz w:val="22"/>
          <w:szCs w:val="22"/>
        </w:rPr>
        <w:t xml:space="preserve">and </w:t>
      </w:r>
      <w:r w:rsidR="00CC4480">
        <w:rPr>
          <w:sz w:val="22"/>
          <w:szCs w:val="22"/>
        </w:rPr>
        <w:t>associated</w:t>
      </w:r>
      <w:r w:rsidR="008F30AD">
        <w:rPr>
          <w:sz w:val="22"/>
          <w:szCs w:val="22"/>
        </w:rPr>
        <w:t xml:space="preserve"> </w:t>
      </w:r>
      <w:r w:rsidRPr="00D710BA">
        <w:rPr>
          <w:sz w:val="22"/>
          <w:szCs w:val="22"/>
        </w:rPr>
        <w:t xml:space="preserve">facilities will be built on vacant government </w:t>
      </w:r>
      <w:r w:rsidR="005A0181" w:rsidRPr="00D710BA">
        <w:rPr>
          <w:sz w:val="22"/>
          <w:szCs w:val="22"/>
        </w:rPr>
        <w:t>land</w:t>
      </w:r>
      <w:r w:rsidR="00990AB3">
        <w:rPr>
          <w:sz w:val="22"/>
          <w:szCs w:val="22"/>
        </w:rPr>
        <w:t xml:space="preserve"> owned by DO</w:t>
      </w:r>
      <w:r w:rsidR="00781B3D">
        <w:rPr>
          <w:sz w:val="22"/>
          <w:szCs w:val="22"/>
        </w:rPr>
        <w:t>U</w:t>
      </w:r>
      <w:r w:rsidR="002B7091">
        <w:rPr>
          <w:sz w:val="22"/>
          <w:szCs w:val="22"/>
        </w:rPr>
        <w:t>D</w:t>
      </w:r>
      <w:r w:rsidR="00990AB3">
        <w:rPr>
          <w:sz w:val="22"/>
          <w:szCs w:val="22"/>
        </w:rPr>
        <w:t xml:space="preserve"> GOHP</w:t>
      </w:r>
      <w:r w:rsidR="005A0181" w:rsidRPr="00D710BA">
        <w:rPr>
          <w:sz w:val="22"/>
          <w:szCs w:val="22"/>
        </w:rPr>
        <w:t xml:space="preserve">. </w:t>
      </w:r>
      <w:r w:rsidRPr="00D710BA">
        <w:rPr>
          <w:sz w:val="22"/>
          <w:szCs w:val="22"/>
        </w:rPr>
        <w:t xml:space="preserve">Due </w:t>
      </w:r>
      <w:r w:rsidR="00DC3B8D" w:rsidRPr="00D710BA">
        <w:rPr>
          <w:sz w:val="22"/>
          <w:szCs w:val="22"/>
        </w:rPr>
        <w:t>to sub</w:t>
      </w:r>
      <w:r w:rsidR="008402CE" w:rsidRPr="00D710BA">
        <w:rPr>
          <w:sz w:val="22"/>
          <w:szCs w:val="22"/>
        </w:rPr>
        <w:t xml:space="preserve">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(GRM) will be followed. This GRM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point view in the start phase of </w:t>
      </w:r>
      <w:r w:rsidR="00F97571">
        <w:rPr>
          <w:sz w:val="22"/>
          <w:szCs w:val="22"/>
        </w:rPr>
        <w:t>sub</w:t>
      </w:r>
      <w:r w:rsidRPr="00A8679E">
        <w:rPr>
          <w:sz w:val="22"/>
          <w:szCs w:val="22"/>
        </w:rPr>
        <w:t xml:space="preserve">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EE9" w:rsidRDefault="002B5EE9" w:rsidP="006B1F7B">
      <w:r>
        <w:separator/>
      </w:r>
    </w:p>
  </w:endnote>
  <w:endnote w:type="continuationSeparator" w:id="1">
    <w:p w:rsidR="002B5EE9" w:rsidRDefault="002B5EE9" w:rsidP="006B1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Default="009533E5" w:rsidP="009640D9">
    <w:pPr>
      <w:pStyle w:val="Footer"/>
      <w:jc w:val="center"/>
    </w:pPr>
    <w:fldSimple w:instr=" PAGE   \* MERGEFORMAT ">
      <w:r w:rsidR="000772CF">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EE9" w:rsidRDefault="002B5EE9" w:rsidP="006B1F7B">
      <w:r>
        <w:separator/>
      </w:r>
    </w:p>
  </w:footnote>
  <w:footnote w:type="continuationSeparator" w:id="1">
    <w:p w:rsidR="002B5EE9" w:rsidRDefault="002B5EE9" w:rsidP="006B1F7B">
      <w:r>
        <w:continuationSeparator/>
      </w:r>
    </w:p>
  </w:footnote>
  <w:footnote w:id="2">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3">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4">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5">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6">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7">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8">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9">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10">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1">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2">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3">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w:t>
    </w:r>
    <w:r w:rsidR="00474BE7">
      <w:rPr>
        <w:rFonts w:ascii="Arial" w:hAnsi="Arial" w:cs="Arial"/>
      </w:rPr>
      <w:t xml:space="preserve"> Establishment </w:t>
    </w:r>
    <w:r w:rsidR="000129CF">
      <w:rPr>
        <w:rFonts w:ascii="Arial" w:hAnsi="Arial" w:cs="Arial"/>
      </w:rPr>
      <w:t xml:space="preserve">of CLC </w:t>
    </w:r>
    <w:r w:rsidR="00474BE7">
      <w:rPr>
        <w:rFonts w:ascii="Arial" w:hAnsi="Arial" w:cs="Arial"/>
      </w:rPr>
      <w:t xml:space="preserve">at </w:t>
    </w:r>
    <w:r w:rsidR="000129CF">
      <w:rPr>
        <w:rFonts w:ascii="Arial" w:hAnsi="Arial" w:cs="Arial"/>
      </w:rPr>
      <w:t>Bilaspur</w:t>
    </w:r>
    <w:r>
      <w:rPr>
        <w:rFonts w:ascii="Arial" w:hAnsi="Arial" w:cs="Arial"/>
      </w:rPr>
      <w:t xml:space="preserv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B1A0B"/>
    <w:multiLevelType w:val="hybridMultilevel"/>
    <w:tmpl w:val="C1B4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6">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6C20775"/>
    <w:multiLevelType w:val="hybridMultilevel"/>
    <w:tmpl w:val="E2DA7ABA"/>
    <w:lvl w:ilvl="0" w:tplc="B0645D52">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5">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7">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9">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20">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2">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3">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4">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7">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8">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30">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1">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2">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3">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5">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7">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2"/>
  </w:num>
  <w:num w:numId="2">
    <w:abstractNumId w:val="29"/>
  </w:num>
  <w:num w:numId="3">
    <w:abstractNumId w:val="34"/>
  </w:num>
  <w:num w:numId="4">
    <w:abstractNumId w:val="0"/>
  </w:num>
  <w:num w:numId="5">
    <w:abstractNumId w:val="10"/>
  </w:num>
  <w:num w:numId="6">
    <w:abstractNumId w:val="19"/>
  </w:num>
  <w:num w:numId="7">
    <w:abstractNumId w:val="39"/>
  </w:num>
  <w:num w:numId="8">
    <w:abstractNumId w:val="4"/>
  </w:num>
  <w:num w:numId="9">
    <w:abstractNumId w:val="7"/>
  </w:num>
  <w:num w:numId="10">
    <w:abstractNumId w:val="27"/>
  </w:num>
  <w:num w:numId="1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3"/>
  </w:num>
  <w:num w:numId="14">
    <w:abstractNumId w:val="26"/>
  </w:num>
  <w:num w:numId="15">
    <w:abstractNumId w:val="28"/>
  </w:num>
  <w:num w:numId="16">
    <w:abstractNumId w:val="36"/>
  </w:num>
  <w:num w:numId="17">
    <w:abstractNumId w:val="11"/>
  </w:num>
  <w:num w:numId="18">
    <w:abstractNumId w:val="2"/>
  </w:num>
  <w:num w:numId="19">
    <w:abstractNumId w:val="38"/>
  </w:num>
  <w:num w:numId="20">
    <w:abstractNumId w:val="37"/>
  </w:num>
  <w:num w:numId="21">
    <w:abstractNumId w:val="33"/>
  </w:num>
  <w:num w:numId="22">
    <w:abstractNumId w:val="16"/>
  </w:num>
  <w:num w:numId="23">
    <w:abstractNumId w:val="31"/>
  </w:num>
  <w:num w:numId="24">
    <w:abstractNumId w:val="21"/>
  </w:num>
  <w:num w:numId="25">
    <w:abstractNumId w:val="1"/>
  </w:num>
  <w:num w:numId="26">
    <w:abstractNumId w:val="24"/>
  </w:num>
  <w:num w:numId="27">
    <w:abstractNumId w:val="8"/>
  </w:num>
  <w:num w:numId="28">
    <w:abstractNumId w:val="30"/>
  </w:num>
  <w:num w:numId="29">
    <w:abstractNumId w:val="35"/>
  </w:num>
  <w:num w:numId="30">
    <w:abstractNumId w:val="15"/>
  </w:num>
  <w:num w:numId="31">
    <w:abstractNumId w:val="25"/>
  </w:num>
  <w:num w:numId="32">
    <w:abstractNumId w:val="6"/>
  </w:num>
  <w:num w:numId="33">
    <w:abstractNumId w:val="22"/>
  </w:num>
  <w:num w:numId="34">
    <w:abstractNumId w:val="9"/>
  </w:num>
  <w:num w:numId="35">
    <w:abstractNumId w:val="9"/>
  </w:num>
  <w:num w:numId="36">
    <w:abstractNumId w:val="5"/>
  </w:num>
  <w:num w:numId="37">
    <w:abstractNumId w:val="17"/>
  </w:num>
  <w:num w:numId="38">
    <w:abstractNumId w:val="18"/>
  </w:num>
  <w:num w:numId="39">
    <w:abstractNumId w:val="12"/>
  </w:num>
  <w:num w:numId="40">
    <w:abstractNumId w:val="3"/>
  </w:num>
  <w:num w:numId="41">
    <w:abstractNumId w:val="1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10"/>
  <w:displayHorizontalDrawingGridEvery w:val="2"/>
  <w:characterSpacingControl w:val="doNotCompress"/>
  <w:doNotValidateAgainstSchema/>
  <w:doNotDemarcateInvalidXml/>
  <w:hdrShapeDefaults>
    <o:shapedefaults v:ext="edit" spidmax="61442">
      <o:colormenu v:ext="edit" strokecolor="none" shadowcolor="none"/>
    </o:shapedefaults>
  </w:hdrShapeDefaults>
  <w:footnotePr>
    <w:footnote w:id="0"/>
    <w:footnote w:id="1"/>
  </w:footnotePr>
  <w:endnotePr>
    <w:endnote w:id="0"/>
    <w:endnote w:id="1"/>
  </w:endnotePr>
  <w:compat/>
  <w:rsids>
    <w:rsidRoot w:val="006B1F7B"/>
    <w:rsid w:val="00000AE6"/>
    <w:rsid w:val="000010ED"/>
    <w:rsid w:val="000039BC"/>
    <w:rsid w:val="00005348"/>
    <w:rsid w:val="000129CF"/>
    <w:rsid w:val="00014704"/>
    <w:rsid w:val="00016F83"/>
    <w:rsid w:val="00017F5E"/>
    <w:rsid w:val="000239FD"/>
    <w:rsid w:val="00025CDA"/>
    <w:rsid w:val="00027485"/>
    <w:rsid w:val="000358E3"/>
    <w:rsid w:val="000369C2"/>
    <w:rsid w:val="00042B0E"/>
    <w:rsid w:val="0004323F"/>
    <w:rsid w:val="0004664F"/>
    <w:rsid w:val="00046868"/>
    <w:rsid w:val="00051FF8"/>
    <w:rsid w:val="0006095F"/>
    <w:rsid w:val="00061859"/>
    <w:rsid w:val="00062540"/>
    <w:rsid w:val="000655FF"/>
    <w:rsid w:val="000704C8"/>
    <w:rsid w:val="00072126"/>
    <w:rsid w:val="00073785"/>
    <w:rsid w:val="0007586F"/>
    <w:rsid w:val="00076610"/>
    <w:rsid w:val="000772CF"/>
    <w:rsid w:val="00077C54"/>
    <w:rsid w:val="000802FF"/>
    <w:rsid w:val="00083FDA"/>
    <w:rsid w:val="00084072"/>
    <w:rsid w:val="00085F09"/>
    <w:rsid w:val="0008784E"/>
    <w:rsid w:val="00090ADF"/>
    <w:rsid w:val="00091C97"/>
    <w:rsid w:val="0009460B"/>
    <w:rsid w:val="00094700"/>
    <w:rsid w:val="00097069"/>
    <w:rsid w:val="000A3C26"/>
    <w:rsid w:val="000B32C2"/>
    <w:rsid w:val="000B535D"/>
    <w:rsid w:val="000B54BB"/>
    <w:rsid w:val="000C0157"/>
    <w:rsid w:val="000C32A2"/>
    <w:rsid w:val="000D0109"/>
    <w:rsid w:val="000D0AA2"/>
    <w:rsid w:val="000D7583"/>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87F"/>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4261"/>
    <w:rsid w:val="0017683B"/>
    <w:rsid w:val="00177F17"/>
    <w:rsid w:val="00183DC7"/>
    <w:rsid w:val="00187513"/>
    <w:rsid w:val="0019377D"/>
    <w:rsid w:val="0019789E"/>
    <w:rsid w:val="00197CC6"/>
    <w:rsid w:val="001A0AF7"/>
    <w:rsid w:val="001A2689"/>
    <w:rsid w:val="001A5C1C"/>
    <w:rsid w:val="001A7DD8"/>
    <w:rsid w:val="001B4BBE"/>
    <w:rsid w:val="001B7CB7"/>
    <w:rsid w:val="001C1C97"/>
    <w:rsid w:val="001C3A50"/>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1F715A"/>
    <w:rsid w:val="002016B1"/>
    <w:rsid w:val="0021122B"/>
    <w:rsid w:val="0021130D"/>
    <w:rsid w:val="00213626"/>
    <w:rsid w:val="00216295"/>
    <w:rsid w:val="002168C0"/>
    <w:rsid w:val="0022073C"/>
    <w:rsid w:val="00221581"/>
    <w:rsid w:val="00223A27"/>
    <w:rsid w:val="00223F56"/>
    <w:rsid w:val="00226613"/>
    <w:rsid w:val="00227717"/>
    <w:rsid w:val="002313C0"/>
    <w:rsid w:val="00231577"/>
    <w:rsid w:val="002341BD"/>
    <w:rsid w:val="0023710D"/>
    <w:rsid w:val="00242170"/>
    <w:rsid w:val="00242501"/>
    <w:rsid w:val="00242AC4"/>
    <w:rsid w:val="0024309B"/>
    <w:rsid w:val="0024427C"/>
    <w:rsid w:val="00247E36"/>
    <w:rsid w:val="002573A3"/>
    <w:rsid w:val="00261A29"/>
    <w:rsid w:val="00261EE5"/>
    <w:rsid w:val="00263F5D"/>
    <w:rsid w:val="00270FFC"/>
    <w:rsid w:val="00271964"/>
    <w:rsid w:val="00274EC2"/>
    <w:rsid w:val="00275F8E"/>
    <w:rsid w:val="002826CA"/>
    <w:rsid w:val="00284F6A"/>
    <w:rsid w:val="002867CB"/>
    <w:rsid w:val="00287B9F"/>
    <w:rsid w:val="00287E05"/>
    <w:rsid w:val="00290798"/>
    <w:rsid w:val="002A0E2D"/>
    <w:rsid w:val="002A59E8"/>
    <w:rsid w:val="002A7576"/>
    <w:rsid w:val="002B041F"/>
    <w:rsid w:val="002B05BE"/>
    <w:rsid w:val="002B2D26"/>
    <w:rsid w:val="002B5EE9"/>
    <w:rsid w:val="002B7091"/>
    <w:rsid w:val="002B73D6"/>
    <w:rsid w:val="002C0553"/>
    <w:rsid w:val="002C089E"/>
    <w:rsid w:val="002C0D01"/>
    <w:rsid w:val="002C432C"/>
    <w:rsid w:val="002C5DE3"/>
    <w:rsid w:val="002C7CBD"/>
    <w:rsid w:val="002D0EFC"/>
    <w:rsid w:val="002D320F"/>
    <w:rsid w:val="002E3556"/>
    <w:rsid w:val="002E60FF"/>
    <w:rsid w:val="002E7F54"/>
    <w:rsid w:val="002F07C9"/>
    <w:rsid w:val="002F3C03"/>
    <w:rsid w:val="002F3FF3"/>
    <w:rsid w:val="002F6DD9"/>
    <w:rsid w:val="002F78B1"/>
    <w:rsid w:val="0030067E"/>
    <w:rsid w:val="00305E53"/>
    <w:rsid w:val="0030723A"/>
    <w:rsid w:val="0031213A"/>
    <w:rsid w:val="003134CD"/>
    <w:rsid w:val="0031642A"/>
    <w:rsid w:val="00320D71"/>
    <w:rsid w:val="0032289F"/>
    <w:rsid w:val="00330E22"/>
    <w:rsid w:val="0033575D"/>
    <w:rsid w:val="00341623"/>
    <w:rsid w:val="003418AB"/>
    <w:rsid w:val="003502FE"/>
    <w:rsid w:val="00356AE4"/>
    <w:rsid w:val="00360BA8"/>
    <w:rsid w:val="00361EBD"/>
    <w:rsid w:val="00364591"/>
    <w:rsid w:val="003714A0"/>
    <w:rsid w:val="00371595"/>
    <w:rsid w:val="0037183F"/>
    <w:rsid w:val="003734E5"/>
    <w:rsid w:val="00375092"/>
    <w:rsid w:val="00375250"/>
    <w:rsid w:val="00375CD2"/>
    <w:rsid w:val="003779A2"/>
    <w:rsid w:val="00377DF5"/>
    <w:rsid w:val="00381A1C"/>
    <w:rsid w:val="003820FC"/>
    <w:rsid w:val="00385041"/>
    <w:rsid w:val="003953D9"/>
    <w:rsid w:val="00397E10"/>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4406"/>
    <w:rsid w:val="004744B8"/>
    <w:rsid w:val="0047498D"/>
    <w:rsid w:val="00474BE7"/>
    <w:rsid w:val="00475D08"/>
    <w:rsid w:val="004776BE"/>
    <w:rsid w:val="004811F0"/>
    <w:rsid w:val="00484341"/>
    <w:rsid w:val="004847EB"/>
    <w:rsid w:val="00487002"/>
    <w:rsid w:val="00491385"/>
    <w:rsid w:val="00491FB4"/>
    <w:rsid w:val="00493194"/>
    <w:rsid w:val="00495FC2"/>
    <w:rsid w:val="00497D8E"/>
    <w:rsid w:val="004A5D36"/>
    <w:rsid w:val="004B2027"/>
    <w:rsid w:val="004B57E3"/>
    <w:rsid w:val="004B7557"/>
    <w:rsid w:val="004B76B2"/>
    <w:rsid w:val="004B7D2D"/>
    <w:rsid w:val="004C457B"/>
    <w:rsid w:val="004C67CE"/>
    <w:rsid w:val="004C6A47"/>
    <w:rsid w:val="004D07E2"/>
    <w:rsid w:val="004D0E22"/>
    <w:rsid w:val="004D1705"/>
    <w:rsid w:val="004D17B0"/>
    <w:rsid w:val="004D675C"/>
    <w:rsid w:val="004E67A2"/>
    <w:rsid w:val="004E68F6"/>
    <w:rsid w:val="004E7344"/>
    <w:rsid w:val="004E75B6"/>
    <w:rsid w:val="004F0942"/>
    <w:rsid w:val="004F10C5"/>
    <w:rsid w:val="004F3B2E"/>
    <w:rsid w:val="004F58DF"/>
    <w:rsid w:val="00503510"/>
    <w:rsid w:val="00503CFB"/>
    <w:rsid w:val="00511EC4"/>
    <w:rsid w:val="005139B7"/>
    <w:rsid w:val="00514CAD"/>
    <w:rsid w:val="00515570"/>
    <w:rsid w:val="005168E2"/>
    <w:rsid w:val="00516F8F"/>
    <w:rsid w:val="005217C5"/>
    <w:rsid w:val="00523439"/>
    <w:rsid w:val="00523EFC"/>
    <w:rsid w:val="0052546F"/>
    <w:rsid w:val="00527F02"/>
    <w:rsid w:val="0053413C"/>
    <w:rsid w:val="00534CE0"/>
    <w:rsid w:val="0055243C"/>
    <w:rsid w:val="00557046"/>
    <w:rsid w:val="00557052"/>
    <w:rsid w:val="00560B84"/>
    <w:rsid w:val="0056345A"/>
    <w:rsid w:val="00564B0B"/>
    <w:rsid w:val="005652B6"/>
    <w:rsid w:val="005662F4"/>
    <w:rsid w:val="00567671"/>
    <w:rsid w:val="00567AD2"/>
    <w:rsid w:val="00573357"/>
    <w:rsid w:val="00573997"/>
    <w:rsid w:val="00575D57"/>
    <w:rsid w:val="0058033C"/>
    <w:rsid w:val="005803CE"/>
    <w:rsid w:val="005821CD"/>
    <w:rsid w:val="0058369A"/>
    <w:rsid w:val="00583FE8"/>
    <w:rsid w:val="0058515B"/>
    <w:rsid w:val="00592286"/>
    <w:rsid w:val="00593019"/>
    <w:rsid w:val="00596ECF"/>
    <w:rsid w:val="00597A03"/>
    <w:rsid w:val="005A0181"/>
    <w:rsid w:val="005A26BC"/>
    <w:rsid w:val="005A3816"/>
    <w:rsid w:val="005A603E"/>
    <w:rsid w:val="005A6690"/>
    <w:rsid w:val="005B57AA"/>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4080"/>
    <w:rsid w:val="00646B1F"/>
    <w:rsid w:val="006504AF"/>
    <w:rsid w:val="00651753"/>
    <w:rsid w:val="006574B7"/>
    <w:rsid w:val="00661F50"/>
    <w:rsid w:val="00662CFC"/>
    <w:rsid w:val="00662FBF"/>
    <w:rsid w:val="006638A9"/>
    <w:rsid w:val="00665A50"/>
    <w:rsid w:val="00673712"/>
    <w:rsid w:val="00673CE4"/>
    <w:rsid w:val="00674BBE"/>
    <w:rsid w:val="0067508D"/>
    <w:rsid w:val="0067781E"/>
    <w:rsid w:val="00677C02"/>
    <w:rsid w:val="0068137E"/>
    <w:rsid w:val="00690F88"/>
    <w:rsid w:val="0069291D"/>
    <w:rsid w:val="006938DE"/>
    <w:rsid w:val="00697CEC"/>
    <w:rsid w:val="006A0D1A"/>
    <w:rsid w:val="006A6CC6"/>
    <w:rsid w:val="006B0DBE"/>
    <w:rsid w:val="006B1F7B"/>
    <w:rsid w:val="006B3A79"/>
    <w:rsid w:val="006B5454"/>
    <w:rsid w:val="006B5F67"/>
    <w:rsid w:val="006B77C4"/>
    <w:rsid w:val="006C0987"/>
    <w:rsid w:val="006C183E"/>
    <w:rsid w:val="006C2360"/>
    <w:rsid w:val="006C322E"/>
    <w:rsid w:val="006C46DD"/>
    <w:rsid w:val="006C5737"/>
    <w:rsid w:val="006D02DE"/>
    <w:rsid w:val="006D6111"/>
    <w:rsid w:val="006E2786"/>
    <w:rsid w:val="006E38B5"/>
    <w:rsid w:val="006E5038"/>
    <w:rsid w:val="006E721E"/>
    <w:rsid w:val="006E731F"/>
    <w:rsid w:val="006F40BD"/>
    <w:rsid w:val="006F5857"/>
    <w:rsid w:val="00700BA7"/>
    <w:rsid w:val="0070371C"/>
    <w:rsid w:val="00704644"/>
    <w:rsid w:val="00705A00"/>
    <w:rsid w:val="00706CB8"/>
    <w:rsid w:val="007072E5"/>
    <w:rsid w:val="0070740E"/>
    <w:rsid w:val="00711612"/>
    <w:rsid w:val="007117CC"/>
    <w:rsid w:val="007143D8"/>
    <w:rsid w:val="0071543D"/>
    <w:rsid w:val="007156D8"/>
    <w:rsid w:val="00717CDA"/>
    <w:rsid w:val="007250E3"/>
    <w:rsid w:val="0072587F"/>
    <w:rsid w:val="0072628D"/>
    <w:rsid w:val="0073480C"/>
    <w:rsid w:val="00734888"/>
    <w:rsid w:val="00735F0A"/>
    <w:rsid w:val="00737503"/>
    <w:rsid w:val="007454BA"/>
    <w:rsid w:val="00747E93"/>
    <w:rsid w:val="00755529"/>
    <w:rsid w:val="00757456"/>
    <w:rsid w:val="00760945"/>
    <w:rsid w:val="00766278"/>
    <w:rsid w:val="0076706C"/>
    <w:rsid w:val="00772FAF"/>
    <w:rsid w:val="00774475"/>
    <w:rsid w:val="00775425"/>
    <w:rsid w:val="00775E7D"/>
    <w:rsid w:val="007762F3"/>
    <w:rsid w:val="00781B3D"/>
    <w:rsid w:val="007826E3"/>
    <w:rsid w:val="00785649"/>
    <w:rsid w:val="00786253"/>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4D24"/>
    <w:rsid w:val="007F1983"/>
    <w:rsid w:val="0080205E"/>
    <w:rsid w:val="00804EC5"/>
    <w:rsid w:val="0080561A"/>
    <w:rsid w:val="00805D46"/>
    <w:rsid w:val="008101DC"/>
    <w:rsid w:val="0081440B"/>
    <w:rsid w:val="00814EA7"/>
    <w:rsid w:val="00823A49"/>
    <w:rsid w:val="0082405E"/>
    <w:rsid w:val="00825047"/>
    <w:rsid w:val="008269D3"/>
    <w:rsid w:val="008275CF"/>
    <w:rsid w:val="00834E48"/>
    <w:rsid w:val="00835440"/>
    <w:rsid w:val="008402CE"/>
    <w:rsid w:val="00841DB3"/>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6BBD"/>
    <w:rsid w:val="008973C6"/>
    <w:rsid w:val="008A04EF"/>
    <w:rsid w:val="008A4961"/>
    <w:rsid w:val="008A51FF"/>
    <w:rsid w:val="008A6DBD"/>
    <w:rsid w:val="008B2A7E"/>
    <w:rsid w:val="008B2F54"/>
    <w:rsid w:val="008B3891"/>
    <w:rsid w:val="008B3B7C"/>
    <w:rsid w:val="008B3F24"/>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0AD"/>
    <w:rsid w:val="008F3676"/>
    <w:rsid w:val="008F3C6D"/>
    <w:rsid w:val="008F79FA"/>
    <w:rsid w:val="009002DD"/>
    <w:rsid w:val="0090095C"/>
    <w:rsid w:val="00900BB5"/>
    <w:rsid w:val="009025B1"/>
    <w:rsid w:val="0090281B"/>
    <w:rsid w:val="009039CE"/>
    <w:rsid w:val="009045C5"/>
    <w:rsid w:val="00907986"/>
    <w:rsid w:val="009116DE"/>
    <w:rsid w:val="00911BE2"/>
    <w:rsid w:val="009146C1"/>
    <w:rsid w:val="0092230A"/>
    <w:rsid w:val="009235AE"/>
    <w:rsid w:val="009252D8"/>
    <w:rsid w:val="009256F3"/>
    <w:rsid w:val="009279CF"/>
    <w:rsid w:val="0093191A"/>
    <w:rsid w:val="00933E17"/>
    <w:rsid w:val="0093622A"/>
    <w:rsid w:val="00936EA7"/>
    <w:rsid w:val="00942C5D"/>
    <w:rsid w:val="009434A7"/>
    <w:rsid w:val="00943972"/>
    <w:rsid w:val="00944866"/>
    <w:rsid w:val="00947DEB"/>
    <w:rsid w:val="0095271D"/>
    <w:rsid w:val="009533E5"/>
    <w:rsid w:val="00953866"/>
    <w:rsid w:val="00955471"/>
    <w:rsid w:val="00955750"/>
    <w:rsid w:val="00955C9C"/>
    <w:rsid w:val="00955D0C"/>
    <w:rsid w:val="009561A0"/>
    <w:rsid w:val="00956D2D"/>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0AB3"/>
    <w:rsid w:val="00991F9A"/>
    <w:rsid w:val="00992DC5"/>
    <w:rsid w:val="009977C7"/>
    <w:rsid w:val="009A2245"/>
    <w:rsid w:val="009A6E1E"/>
    <w:rsid w:val="009A7739"/>
    <w:rsid w:val="009B0114"/>
    <w:rsid w:val="009B1D34"/>
    <w:rsid w:val="009B396B"/>
    <w:rsid w:val="009B3CBB"/>
    <w:rsid w:val="009B3F40"/>
    <w:rsid w:val="009B471B"/>
    <w:rsid w:val="009B50D3"/>
    <w:rsid w:val="009B63EB"/>
    <w:rsid w:val="009B69C0"/>
    <w:rsid w:val="009B77E9"/>
    <w:rsid w:val="009B7F84"/>
    <w:rsid w:val="009C1B73"/>
    <w:rsid w:val="009C29F5"/>
    <w:rsid w:val="009C2C80"/>
    <w:rsid w:val="009C3D05"/>
    <w:rsid w:val="009C506E"/>
    <w:rsid w:val="009C535A"/>
    <w:rsid w:val="009C5D84"/>
    <w:rsid w:val="009C6294"/>
    <w:rsid w:val="009D3A13"/>
    <w:rsid w:val="009D5439"/>
    <w:rsid w:val="009D5ACF"/>
    <w:rsid w:val="009D6705"/>
    <w:rsid w:val="009E2072"/>
    <w:rsid w:val="009E28F7"/>
    <w:rsid w:val="009E427B"/>
    <w:rsid w:val="009E5A67"/>
    <w:rsid w:val="009E6273"/>
    <w:rsid w:val="009F09EA"/>
    <w:rsid w:val="009F241A"/>
    <w:rsid w:val="009F67AB"/>
    <w:rsid w:val="00A0168F"/>
    <w:rsid w:val="00A10AD2"/>
    <w:rsid w:val="00A16A18"/>
    <w:rsid w:val="00A1751D"/>
    <w:rsid w:val="00A20873"/>
    <w:rsid w:val="00A21566"/>
    <w:rsid w:val="00A22E03"/>
    <w:rsid w:val="00A27544"/>
    <w:rsid w:val="00A3023F"/>
    <w:rsid w:val="00A30749"/>
    <w:rsid w:val="00A3300E"/>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8213B"/>
    <w:rsid w:val="00A8679E"/>
    <w:rsid w:val="00A91206"/>
    <w:rsid w:val="00A934DB"/>
    <w:rsid w:val="00A94312"/>
    <w:rsid w:val="00A9610A"/>
    <w:rsid w:val="00AA2A58"/>
    <w:rsid w:val="00AA4AD2"/>
    <w:rsid w:val="00AA52C9"/>
    <w:rsid w:val="00AA61EC"/>
    <w:rsid w:val="00AB0EE4"/>
    <w:rsid w:val="00AB189B"/>
    <w:rsid w:val="00AB3433"/>
    <w:rsid w:val="00AC06A1"/>
    <w:rsid w:val="00AC5636"/>
    <w:rsid w:val="00AC6D66"/>
    <w:rsid w:val="00AD07CC"/>
    <w:rsid w:val="00AD7782"/>
    <w:rsid w:val="00AE542E"/>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3B3C"/>
    <w:rsid w:val="00B57955"/>
    <w:rsid w:val="00B61FC0"/>
    <w:rsid w:val="00B6213F"/>
    <w:rsid w:val="00B62D5E"/>
    <w:rsid w:val="00B639B9"/>
    <w:rsid w:val="00B63D7F"/>
    <w:rsid w:val="00B82733"/>
    <w:rsid w:val="00B82BAB"/>
    <w:rsid w:val="00B83D22"/>
    <w:rsid w:val="00B858D3"/>
    <w:rsid w:val="00B85CF9"/>
    <w:rsid w:val="00B85D9E"/>
    <w:rsid w:val="00B85EAA"/>
    <w:rsid w:val="00B87308"/>
    <w:rsid w:val="00B8798D"/>
    <w:rsid w:val="00B94F93"/>
    <w:rsid w:val="00B95AC9"/>
    <w:rsid w:val="00B97092"/>
    <w:rsid w:val="00BA0E12"/>
    <w:rsid w:val="00BA0F1F"/>
    <w:rsid w:val="00BA105F"/>
    <w:rsid w:val="00BA4337"/>
    <w:rsid w:val="00BA520A"/>
    <w:rsid w:val="00BA5606"/>
    <w:rsid w:val="00BA5CF6"/>
    <w:rsid w:val="00BB309D"/>
    <w:rsid w:val="00BB488D"/>
    <w:rsid w:val="00BB492B"/>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E6017"/>
    <w:rsid w:val="00BE6C7E"/>
    <w:rsid w:val="00BF268A"/>
    <w:rsid w:val="00BF3672"/>
    <w:rsid w:val="00BF3D52"/>
    <w:rsid w:val="00BF7BAE"/>
    <w:rsid w:val="00BF7CA0"/>
    <w:rsid w:val="00C01B10"/>
    <w:rsid w:val="00C021A9"/>
    <w:rsid w:val="00C04FEE"/>
    <w:rsid w:val="00C0544E"/>
    <w:rsid w:val="00C1136C"/>
    <w:rsid w:val="00C12853"/>
    <w:rsid w:val="00C14617"/>
    <w:rsid w:val="00C16546"/>
    <w:rsid w:val="00C21252"/>
    <w:rsid w:val="00C2347E"/>
    <w:rsid w:val="00C2535C"/>
    <w:rsid w:val="00C25C84"/>
    <w:rsid w:val="00C25FE4"/>
    <w:rsid w:val="00C27D20"/>
    <w:rsid w:val="00C304DA"/>
    <w:rsid w:val="00C31105"/>
    <w:rsid w:val="00C361F0"/>
    <w:rsid w:val="00C3677D"/>
    <w:rsid w:val="00C4011D"/>
    <w:rsid w:val="00C40633"/>
    <w:rsid w:val="00C40929"/>
    <w:rsid w:val="00C4598C"/>
    <w:rsid w:val="00C4603D"/>
    <w:rsid w:val="00C4707F"/>
    <w:rsid w:val="00C51BD2"/>
    <w:rsid w:val="00C52190"/>
    <w:rsid w:val="00C523A4"/>
    <w:rsid w:val="00C56C37"/>
    <w:rsid w:val="00C60934"/>
    <w:rsid w:val="00C60DE7"/>
    <w:rsid w:val="00C63B78"/>
    <w:rsid w:val="00C63FB5"/>
    <w:rsid w:val="00C655DF"/>
    <w:rsid w:val="00C67955"/>
    <w:rsid w:val="00C705A7"/>
    <w:rsid w:val="00C708D7"/>
    <w:rsid w:val="00C710E6"/>
    <w:rsid w:val="00C71281"/>
    <w:rsid w:val="00C727E3"/>
    <w:rsid w:val="00C744C6"/>
    <w:rsid w:val="00C74D12"/>
    <w:rsid w:val="00C7795B"/>
    <w:rsid w:val="00C81137"/>
    <w:rsid w:val="00C82754"/>
    <w:rsid w:val="00C828E6"/>
    <w:rsid w:val="00C83849"/>
    <w:rsid w:val="00C85DFC"/>
    <w:rsid w:val="00C86043"/>
    <w:rsid w:val="00C86802"/>
    <w:rsid w:val="00C86ECA"/>
    <w:rsid w:val="00C92798"/>
    <w:rsid w:val="00C944F4"/>
    <w:rsid w:val="00C968A1"/>
    <w:rsid w:val="00C96B9A"/>
    <w:rsid w:val="00C975F4"/>
    <w:rsid w:val="00CA04F7"/>
    <w:rsid w:val="00CA2801"/>
    <w:rsid w:val="00CA3B25"/>
    <w:rsid w:val="00CA4D00"/>
    <w:rsid w:val="00CA60F0"/>
    <w:rsid w:val="00CA6CEE"/>
    <w:rsid w:val="00CB7878"/>
    <w:rsid w:val="00CC3B0C"/>
    <w:rsid w:val="00CC4480"/>
    <w:rsid w:val="00CC4FEB"/>
    <w:rsid w:val="00CC5175"/>
    <w:rsid w:val="00CC61ED"/>
    <w:rsid w:val="00CC79DD"/>
    <w:rsid w:val="00CC7BE0"/>
    <w:rsid w:val="00CD02C2"/>
    <w:rsid w:val="00CD0B6F"/>
    <w:rsid w:val="00CD150E"/>
    <w:rsid w:val="00CD39CD"/>
    <w:rsid w:val="00CD4A17"/>
    <w:rsid w:val="00CD57D5"/>
    <w:rsid w:val="00CE417D"/>
    <w:rsid w:val="00CE4B4B"/>
    <w:rsid w:val="00CE524A"/>
    <w:rsid w:val="00CE6357"/>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5592"/>
    <w:rsid w:val="00D279E3"/>
    <w:rsid w:val="00D352B7"/>
    <w:rsid w:val="00D36814"/>
    <w:rsid w:val="00D417A1"/>
    <w:rsid w:val="00D458CB"/>
    <w:rsid w:val="00D45DC8"/>
    <w:rsid w:val="00D512E0"/>
    <w:rsid w:val="00D51FAA"/>
    <w:rsid w:val="00D530BF"/>
    <w:rsid w:val="00D5385A"/>
    <w:rsid w:val="00D55812"/>
    <w:rsid w:val="00D57C19"/>
    <w:rsid w:val="00D57E72"/>
    <w:rsid w:val="00D601D4"/>
    <w:rsid w:val="00D64C56"/>
    <w:rsid w:val="00D706FD"/>
    <w:rsid w:val="00D710BA"/>
    <w:rsid w:val="00D72085"/>
    <w:rsid w:val="00D75229"/>
    <w:rsid w:val="00D75693"/>
    <w:rsid w:val="00D7771F"/>
    <w:rsid w:val="00D81134"/>
    <w:rsid w:val="00D82B27"/>
    <w:rsid w:val="00D84318"/>
    <w:rsid w:val="00D85D56"/>
    <w:rsid w:val="00D86952"/>
    <w:rsid w:val="00D87BFA"/>
    <w:rsid w:val="00D925CD"/>
    <w:rsid w:val="00D92EA1"/>
    <w:rsid w:val="00D92F65"/>
    <w:rsid w:val="00D952D7"/>
    <w:rsid w:val="00DA1861"/>
    <w:rsid w:val="00DA271A"/>
    <w:rsid w:val="00DA36C9"/>
    <w:rsid w:val="00DA429C"/>
    <w:rsid w:val="00DA4617"/>
    <w:rsid w:val="00DA5970"/>
    <w:rsid w:val="00DA6208"/>
    <w:rsid w:val="00DB08BB"/>
    <w:rsid w:val="00DB5EBB"/>
    <w:rsid w:val="00DB7DD8"/>
    <w:rsid w:val="00DC3B8D"/>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37D1"/>
    <w:rsid w:val="00E2427A"/>
    <w:rsid w:val="00E30683"/>
    <w:rsid w:val="00E30EEB"/>
    <w:rsid w:val="00E3257A"/>
    <w:rsid w:val="00E32A45"/>
    <w:rsid w:val="00E3521A"/>
    <w:rsid w:val="00E35BF0"/>
    <w:rsid w:val="00E37214"/>
    <w:rsid w:val="00E448AF"/>
    <w:rsid w:val="00E46743"/>
    <w:rsid w:val="00E543CF"/>
    <w:rsid w:val="00E550D4"/>
    <w:rsid w:val="00E60FF1"/>
    <w:rsid w:val="00E6245E"/>
    <w:rsid w:val="00E629BC"/>
    <w:rsid w:val="00E6543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6D9"/>
    <w:rsid w:val="00EA78A2"/>
    <w:rsid w:val="00EB0D18"/>
    <w:rsid w:val="00EB3CA6"/>
    <w:rsid w:val="00EB3EF8"/>
    <w:rsid w:val="00EB48C3"/>
    <w:rsid w:val="00EB51C7"/>
    <w:rsid w:val="00EB5BC0"/>
    <w:rsid w:val="00EB7557"/>
    <w:rsid w:val="00EC0160"/>
    <w:rsid w:val="00EC1481"/>
    <w:rsid w:val="00EC332B"/>
    <w:rsid w:val="00EC351F"/>
    <w:rsid w:val="00EC3556"/>
    <w:rsid w:val="00EC65A8"/>
    <w:rsid w:val="00ED01D5"/>
    <w:rsid w:val="00ED1591"/>
    <w:rsid w:val="00ED5012"/>
    <w:rsid w:val="00ED59BC"/>
    <w:rsid w:val="00EE50FE"/>
    <w:rsid w:val="00EF6E2A"/>
    <w:rsid w:val="00F00DCA"/>
    <w:rsid w:val="00F03AD4"/>
    <w:rsid w:val="00F104B8"/>
    <w:rsid w:val="00F10B94"/>
    <w:rsid w:val="00F151B6"/>
    <w:rsid w:val="00F1666A"/>
    <w:rsid w:val="00F22A9F"/>
    <w:rsid w:val="00F258C7"/>
    <w:rsid w:val="00F301F0"/>
    <w:rsid w:val="00F31DA7"/>
    <w:rsid w:val="00F344E9"/>
    <w:rsid w:val="00F41B58"/>
    <w:rsid w:val="00F43FCD"/>
    <w:rsid w:val="00F440FC"/>
    <w:rsid w:val="00F45DFB"/>
    <w:rsid w:val="00F4786B"/>
    <w:rsid w:val="00F539F0"/>
    <w:rsid w:val="00F54785"/>
    <w:rsid w:val="00F5612E"/>
    <w:rsid w:val="00F60390"/>
    <w:rsid w:val="00F67B2D"/>
    <w:rsid w:val="00F711AC"/>
    <w:rsid w:val="00F75914"/>
    <w:rsid w:val="00F77978"/>
    <w:rsid w:val="00F813FD"/>
    <w:rsid w:val="00F81A3D"/>
    <w:rsid w:val="00F8297B"/>
    <w:rsid w:val="00F82B5A"/>
    <w:rsid w:val="00F8308B"/>
    <w:rsid w:val="00F83CE3"/>
    <w:rsid w:val="00F84707"/>
    <w:rsid w:val="00F84B01"/>
    <w:rsid w:val="00F93A1A"/>
    <w:rsid w:val="00F95369"/>
    <w:rsid w:val="00F97571"/>
    <w:rsid w:val="00FA2570"/>
    <w:rsid w:val="00FA35DA"/>
    <w:rsid w:val="00FA3AF4"/>
    <w:rsid w:val="00FA3C14"/>
    <w:rsid w:val="00FA6B14"/>
    <w:rsid w:val="00FA7F37"/>
    <w:rsid w:val="00FB3DED"/>
    <w:rsid w:val="00FB600F"/>
    <w:rsid w:val="00FB6562"/>
    <w:rsid w:val="00FC1EEB"/>
    <w:rsid w:val="00FC21EA"/>
    <w:rsid w:val="00FC27B2"/>
    <w:rsid w:val="00FC3F8F"/>
    <w:rsid w:val="00FC66FB"/>
    <w:rsid w:val="00FD1FC8"/>
    <w:rsid w:val="00FD4C8E"/>
    <w:rsid w:val="00FD540B"/>
    <w:rsid w:val="00FD5913"/>
    <w:rsid w:val="00FD5E85"/>
    <w:rsid w:val="00FD6821"/>
    <w:rsid w:val="00FD6A59"/>
    <w:rsid w:val="00FE0E53"/>
    <w:rsid w:val="00FE2139"/>
    <w:rsid w:val="00FE355D"/>
    <w:rsid w:val="00FF57F5"/>
    <w:rsid w:val="00FF5E37"/>
    <w:rsid w:val="00FF6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colormenu v:ext="edit"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footer" w:uiPriority="99"/>
    <w:lsdException w:name="caption" w:locked="1" w:qFormat="1"/>
    <w:lsdException w:name="footnote reference" w:uiPriority="99" w:qFormat="1"/>
    <w:lsdException w:name="List Bullet"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34"/>
    <w:qFormat/>
    <w:rsid w:val="006B1F7B"/>
    <w:pPr>
      <w:widowControl/>
      <w:spacing w:after="200" w:line="276" w:lineRule="auto"/>
      <w:ind w:left="720"/>
    </w:pPr>
    <w:rPr>
      <w:rFonts w:eastAsia="Calibri"/>
    </w:rPr>
  </w:style>
  <w:style w:type="paragraph" w:customStyle="1" w:styleId="Style3">
    <w:name w:val="Style3"/>
    <w:basedOn w:val="Normal"/>
    <w:link w:val="Style3Char"/>
    <w:uiPriority w:val="99"/>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uiPriority w:val="99"/>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8B886-123A-4E18-BB55-AE1D644B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16</Pages>
  <Words>4865</Words>
  <Characters>27733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32533</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shreeniwas; verma</dc:creator>
  <cp:lastModifiedBy>ETS</cp:lastModifiedBy>
  <cp:revision>33</cp:revision>
  <cp:lastPrinted>2014-06-07T06:18:00Z</cp:lastPrinted>
  <dcterms:created xsi:type="dcterms:W3CDTF">2019-03-02T09:28:00Z</dcterms:created>
  <dcterms:modified xsi:type="dcterms:W3CDTF">2019-08-07T08:56:00Z</dcterms:modified>
</cp:coreProperties>
</file>